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5556E" w14:textId="77777777" w:rsidR="005677BE" w:rsidRPr="00AC7EA6" w:rsidRDefault="00A169ED">
      <w:pPr>
        <w:spacing w:before="40" w:after="40"/>
        <w:rPr>
          <w:rFonts w:ascii="Times New Roman" w:hAnsi="Times New Roman" w:cs="Times New Roman"/>
          <w:b/>
          <w:bCs/>
          <w:sz w:val="20"/>
          <w:szCs w:val="20"/>
        </w:rPr>
      </w:pPr>
      <w:r>
        <w:rPr>
          <w:rFonts w:ascii="Times New Roman" w:hAnsi="Times New Roman" w:cs="Times New Roman"/>
          <w:b/>
          <w:bCs/>
          <w:sz w:val="20"/>
          <w:szCs w:val="20"/>
        </w:rPr>
        <w:t>SERVICE D’INFRASTRUCTURE DE LA DÉFENSE NORD-EST</w:t>
      </w:r>
    </w:p>
    <w:p w14:paraId="3C3B38D3" w14:textId="77777777" w:rsidR="005677BE" w:rsidRPr="00AC7EA6" w:rsidRDefault="00A169ED">
      <w:pPr>
        <w:spacing w:before="40" w:after="40"/>
        <w:rPr>
          <w:rFonts w:ascii="Times New Roman" w:hAnsi="Times New Roman" w:cs="Times New Roman"/>
          <w:b/>
          <w:bCs/>
          <w:sz w:val="20"/>
          <w:szCs w:val="20"/>
        </w:rPr>
      </w:pPr>
      <w:r>
        <w:rPr>
          <w:rFonts w:ascii="Times New Roman" w:hAnsi="Times New Roman" w:cs="Times New Roman"/>
          <w:b/>
          <w:bCs/>
          <w:sz w:val="20"/>
          <w:szCs w:val="20"/>
        </w:rPr>
        <w:t>UNITÉ DE SOUTIEN DE L’INFRASTRUCTURE DE LA DÉFENSE DE BESANÇON</w:t>
      </w:r>
    </w:p>
    <w:p w14:paraId="46FFC4A7" w14:textId="77777777" w:rsidR="005677BE" w:rsidRPr="00AC7EA6" w:rsidRDefault="00A169ED">
      <w:pPr>
        <w:spacing w:before="40" w:after="40"/>
        <w:rPr>
          <w:rFonts w:ascii="Times New Roman" w:hAnsi="Times New Roman" w:cs="Times New Roman"/>
          <w:b/>
          <w:bCs/>
          <w:sz w:val="20"/>
          <w:szCs w:val="20"/>
        </w:rPr>
      </w:pPr>
      <w:r>
        <w:rPr>
          <w:rFonts w:ascii="Times New Roman" w:hAnsi="Times New Roman" w:cs="Times New Roman"/>
          <w:b/>
          <w:bCs/>
          <w:sz w:val="20"/>
          <w:szCs w:val="20"/>
        </w:rPr>
        <w:t>Section Exploitation de la Maintenance</w:t>
      </w:r>
    </w:p>
    <w:p w14:paraId="5D2817E1" w14:textId="77777777" w:rsidR="005677BE" w:rsidRPr="00AC7EA6" w:rsidRDefault="00A169ED">
      <w:pPr>
        <w:spacing w:before="40" w:after="40"/>
        <w:rPr>
          <w:rFonts w:ascii="Times New Roman" w:hAnsi="Times New Roman" w:cs="Times New Roman"/>
          <w:bCs/>
          <w:sz w:val="20"/>
          <w:szCs w:val="20"/>
        </w:rPr>
      </w:pPr>
      <w:r>
        <w:rPr>
          <w:rFonts w:ascii="Times New Roman" w:hAnsi="Times New Roman" w:cs="Times New Roman"/>
          <w:bCs/>
          <w:sz w:val="20"/>
          <w:szCs w:val="20"/>
        </w:rPr>
        <w:t>Quartier RUTY – 64, rue Bersot – BP 21437 – 25007 BESANÇON Cedex</w:t>
      </w:r>
    </w:p>
    <w:p w14:paraId="04B6ACB5" w14:textId="490E5C29" w:rsidR="00AC7EA6" w:rsidRPr="00AC7EA6" w:rsidRDefault="00A169ED" w:rsidP="00AC7EA6">
      <w:pPr>
        <w:spacing w:before="40" w:after="40"/>
        <w:rPr>
          <w:rFonts w:ascii="Times New Roman" w:hAnsi="Times New Roman" w:cs="Times New Roman"/>
          <w:bCs/>
          <w:sz w:val="20"/>
          <w:szCs w:val="20"/>
        </w:rPr>
      </w:pPr>
      <w:r>
        <w:rPr>
          <w:rFonts w:ascii="Times New Roman" w:hAnsi="Times New Roman" w:cs="Times New Roman"/>
          <w:bCs/>
          <w:sz w:val="20"/>
          <w:szCs w:val="20"/>
        </w:rPr>
        <w:t>Affaire suivie par : Indira ZERIC</w:t>
      </w:r>
    </w:p>
    <w:p w14:paraId="4ACF3E06" w14:textId="40E0025D" w:rsidR="005677BE" w:rsidRPr="00AC7EA6" w:rsidRDefault="00A169ED" w:rsidP="00AC7EA6">
      <w:pPr>
        <w:spacing w:before="40" w:after="40"/>
        <w:rPr>
          <w:rFonts w:ascii="Times New Roman" w:hAnsi="Times New Roman" w:cs="Times New Roman"/>
          <w:bCs/>
          <w:sz w:val="20"/>
          <w:szCs w:val="20"/>
        </w:rPr>
      </w:pPr>
      <w:r>
        <w:rPr>
          <w:rFonts w:ascii="Times New Roman" w:hAnsi="Times New Roman" w:cs="Times New Roman"/>
          <w:bCs/>
          <w:sz w:val="20"/>
          <w:szCs w:val="20"/>
        </w:rPr>
        <w:t xml:space="preserve">Marché </w:t>
      </w:r>
      <w:r w:rsidR="00566F6C">
        <w:rPr>
          <w:rFonts w:ascii="Times New Roman" w:hAnsi="Times New Roman" w:cs="Times New Roman"/>
          <w:bCs/>
          <w:sz w:val="20"/>
          <w:szCs w:val="20"/>
        </w:rPr>
        <w:t>n° 25USID05-</w:t>
      </w:r>
      <w:r>
        <w:rPr>
          <w:rFonts w:ascii="Times New Roman" w:hAnsi="Times New Roman" w:cs="Times New Roman"/>
          <w:bCs/>
          <w:sz w:val="20"/>
          <w:szCs w:val="20"/>
        </w:rPr>
        <w:t>014 – N° COSI : 467900</w:t>
      </w:r>
    </w:p>
    <w:p w14:paraId="17331358" w14:textId="46F27C44" w:rsidR="00AC7EA6" w:rsidRPr="00AC7EA6" w:rsidRDefault="00AC7EA6" w:rsidP="00AC7EA6">
      <w:pPr>
        <w:spacing w:before="40" w:after="40"/>
        <w:rPr>
          <w:rFonts w:ascii="Times New Roman" w:hAnsi="Times New Roman" w:cs="Times New Roman"/>
          <w:b/>
          <w:bCs/>
          <w:sz w:val="20"/>
          <w:szCs w:val="20"/>
        </w:rPr>
      </w:pPr>
    </w:p>
    <w:tbl>
      <w:tblPr>
        <w:tblW w:w="10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0466"/>
      </w:tblGrid>
      <w:tr w:rsidR="005677BE" w:rsidRPr="00AC7EA6" w14:paraId="36DC2C26" w14:textId="77777777" w:rsidTr="00AC7EA6">
        <w:tc>
          <w:tcPr>
            <w:tcW w:w="10466" w:type="dxa"/>
            <w:shd w:val="clear" w:color="auto" w:fill="BFBFBF" w:themeFill="background1" w:themeFillShade="BF"/>
            <w:tcMar>
              <w:top w:w="40" w:type="dxa"/>
              <w:left w:w="80" w:type="dxa"/>
              <w:bottom w:w="40" w:type="dxa"/>
              <w:right w:w="80" w:type="dxa"/>
            </w:tcMar>
            <w:vAlign w:val="center"/>
          </w:tcPr>
          <w:p w14:paraId="0A701BB3" w14:textId="77777777" w:rsidR="00AC7EA6" w:rsidRDefault="00AC7EA6" w:rsidP="00AC7EA6">
            <w:pPr>
              <w:spacing w:before="40" w:after="40"/>
              <w:jc w:val="center"/>
              <w:rPr>
                <w:rFonts w:ascii="Times New Roman" w:hAnsi="Times New Roman" w:cs="Times New Roman"/>
                <w:b/>
                <w:bCs/>
                <w:sz w:val="28"/>
                <w:szCs w:val="28"/>
              </w:rPr>
            </w:pPr>
          </w:p>
          <w:p w14:paraId="0B8B4B44" w14:textId="5928B9E3" w:rsidR="005677BE" w:rsidRPr="00AC7EA6" w:rsidRDefault="00A169ED" w:rsidP="00AC7EA6">
            <w:pPr>
              <w:spacing w:before="40" w:after="40"/>
              <w:jc w:val="center"/>
              <w:rPr>
                <w:rFonts w:ascii="Times New Roman" w:hAnsi="Times New Roman" w:cs="Times New Roman"/>
                <w:b/>
                <w:bCs/>
                <w:sz w:val="28"/>
                <w:szCs w:val="28"/>
              </w:rPr>
            </w:pPr>
            <w:r>
              <w:rPr>
                <w:rFonts w:ascii="Times New Roman" w:hAnsi="Times New Roman" w:cs="Times New Roman"/>
                <w:b/>
                <w:bCs/>
                <w:sz w:val="28"/>
                <w:szCs w:val="28"/>
              </w:rPr>
              <w:t>DÉCOMPOSITION DU PRIX GLOBAL ET FORFAITAIRE</w:t>
            </w:r>
          </w:p>
          <w:p w14:paraId="72149EDE" w14:textId="77777777" w:rsidR="005677BE" w:rsidRDefault="00A169ED" w:rsidP="00AC7EA6">
            <w:pPr>
              <w:spacing w:before="40" w:after="40"/>
              <w:jc w:val="center"/>
              <w:rPr>
                <w:rFonts w:ascii="Times New Roman" w:hAnsi="Times New Roman" w:cs="Times New Roman"/>
                <w:b/>
                <w:bCs/>
                <w:sz w:val="28"/>
                <w:szCs w:val="28"/>
              </w:rPr>
            </w:pPr>
            <w:r>
              <w:rPr>
                <w:rFonts w:ascii="Times New Roman" w:hAnsi="Times New Roman" w:cs="Times New Roman"/>
                <w:b/>
                <w:bCs/>
                <w:sz w:val="28"/>
                <w:szCs w:val="28"/>
              </w:rPr>
              <w:t>(D.P.G.F.)</w:t>
            </w:r>
          </w:p>
          <w:p w14:paraId="79D3366F" w14:textId="09E35A87" w:rsidR="00AC7EA6" w:rsidRPr="00AC7EA6" w:rsidRDefault="00AC7EA6" w:rsidP="00AC7EA6">
            <w:pPr>
              <w:spacing w:before="40" w:after="40"/>
              <w:jc w:val="center"/>
              <w:rPr>
                <w:rFonts w:ascii="Times New Roman" w:hAnsi="Times New Roman" w:cs="Times New Roman"/>
                <w:b/>
                <w:bCs/>
                <w:sz w:val="20"/>
                <w:szCs w:val="20"/>
              </w:rPr>
            </w:pPr>
          </w:p>
        </w:tc>
      </w:tr>
    </w:tbl>
    <w:p w14:paraId="37966FF8" w14:textId="79BEB31F" w:rsidR="005677BE" w:rsidRDefault="005677BE">
      <w:pPr>
        <w:spacing w:before="40" w:after="40"/>
        <w:rPr>
          <w:rFonts w:ascii="Times New Roman" w:hAnsi="Times New Roman" w:cs="Times New Roman"/>
          <w:b/>
          <w:bCs/>
          <w:sz w:val="20"/>
          <w:szCs w:val="20"/>
        </w:rPr>
      </w:pPr>
    </w:p>
    <w:tbl>
      <w:tblPr>
        <w:tblW w:w="9546" w:type="dxa"/>
        <w:jc w:val="center"/>
        <w:tblLayout w:type="fixed"/>
        <w:tblCellMar>
          <w:left w:w="70" w:type="dxa"/>
          <w:right w:w="70" w:type="dxa"/>
        </w:tblCellMar>
        <w:tblLook w:val="04A0" w:firstRow="1" w:lastRow="0" w:firstColumn="1" w:lastColumn="0" w:noHBand="0" w:noVBand="1"/>
      </w:tblPr>
      <w:tblGrid>
        <w:gridCol w:w="2978"/>
        <w:gridCol w:w="6568"/>
      </w:tblGrid>
      <w:tr w:rsidR="00AC7EA6" w:rsidRPr="006676B6" w14:paraId="78569F3E" w14:textId="77777777" w:rsidTr="008C5605">
        <w:trPr>
          <w:cantSplit/>
          <w:jc w:val="center"/>
        </w:trPr>
        <w:tc>
          <w:tcPr>
            <w:tcW w:w="2978" w:type="dxa"/>
            <w:tcBorders>
              <w:top w:val="double" w:sz="6" w:space="0" w:color="auto"/>
              <w:left w:val="double" w:sz="6" w:space="0" w:color="auto"/>
              <w:bottom w:val="double" w:sz="6" w:space="0" w:color="auto"/>
              <w:right w:val="double" w:sz="6" w:space="0" w:color="auto"/>
            </w:tcBorders>
            <w:shd w:val="clear" w:color="auto" w:fill="D1D1D1" w:themeFill="background2" w:themeFillShade="E6"/>
          </w:tcPr>
          <w:p w14:paraId="68E5806F" w14:textId="450088EB" w:rsidR="00AC7EA6" w:rsidRPr="006676B6" w:rsidRDefault="00AC7EA6" w:rsidP="008C5605">
            <w:pPr>
              <w:tabs>
                <w:tab w:val="center" w:pos="1843"/>
              </w:tabs>
              <w:spacing w:line="256" w:lineRule="auto"/>
              <w:rPr>
                <w:rFonts w:ascii="Times New Roman" w:eastAsia="Times New Roman" w:hAnsi="Times New Roman" w:cs="Times New Roman"/>
                <w:b/>
                <w:smallCaps/>
                <w:sz w:val="24"/>
                <w:szCs w:val="20"/>
                <w:lang w:eastAsia="en-US"/>
              </w:rPr>
            </w:pPr>
            <w:r>
              <w:rPr>
                <w:rFonts w:ascii="Times New Roman" w:eastAsia="Times New Roman" w:hAnsi="Times New Roman" w:cs="Times New Roman"/>
                <w:b/>
                <w:smallCaps/>
                <w:sz w:val="24"/>
                <w:szCs w:val="20"/>
                <w:lang w:eastAsia="en-US"/>
              </w:rPr>
              <w:t xml:space="preserve">   N° DAF</w:t>
            </w:r>
            <w:r w:rsidR="0027235A">
              <w:rPr>
                <w:rFonts w:ascii="Times New Roman" w:eastAsia="Times New Roman" w:hAnsi="Times New Roman" w:cs="Times New Roman"/>
                <w:b/>
                <w:smallCaps/>
                <w:sz w:val="24"/>
                <w:szCs w:val="20"/>
                <w:lang w:eastAsia="en-US"/>
              </w:rPr>
              <w:t>_2025_</w:t>
            </w:r>
            <w:r w:rsidR="00566F6C">
              <w:rPr>
                <w:rFonts w:ascii="Times New Roman" w:eastAsia="Times New Roman" w:hAnsi="Times New Roman" w:cs="Times New Roman"/>
                <w:b/>
                <w:smallCaps/>
                <w:sz w:val="24"/>
                <w:szCs w:val="20"/>
                <w:lang w:eastAsia="en-US"/>
              </w:rPr>
              <w:t>001545</w:t>
            </w:r>
          </w:p>
          <w:p w14:paraId="477D1BDC" w14:textId="77777777" w:rsidR="00AC7EA6" w:rsidRPr="006676B6" w:rsidRDefault="00AC7EA6" w:rsidP="008C5605">
            <w:pPr>
              <w:tabs>
                <w:tab w:val="center" w:pos="1843"/>
              </w:tabs>
              <w:spacing w:line="256" w:lineRule="auto"/>
              <w:rPr>
                <w:rFonts w:ascii="Times New Roman" w:eastAsia="Times New Roman" w:hAnsi="Times New Roman" w:cs="Times New Roman"/>
                <w:b/>
                <w:smallCaps/>
                <w:sz w:val="24"/>
                <w:szCs w:val="20"/>
                <w:lang w:eastAsia="en-US"/>
              </w:rPr>
            </w:pPr>
          </w:p>
          <w:p w14:paraId="25A2923A" w14:textId="77777777" w:rsidR="00AC7EA6" w:rsidRPr="006676B6" w:rsidRDefault="00AC7EA6" w:rsidP="008C5605">
            <w:pPr>
              <w:keepNext/>
              <w:tabs>
                <w:tab w:val="center" w:pos="1843"/>
                <w:tab w:val="center" w:pos="6804"/>
              </w:tabs>
              <w:spacing w:line="256" w:lineRule="auto"/>
              <w:outlineLvl w:val="1"/>
              <w:rPr>
                <w:rFonts w:ascii="Times New Roman" w:eastAsia="Times New Roman" w:hAnsi="Times New Roman" w:cs="Times New Roman"/>
                <w:b/>
                <w:smallCaps/>
                <w:sz w:val="24"/>
                <w:szCs w:val="20"/>
                <w:lang w:eastAsia="en-US"/>
              </w:rPr>
            </w:pPr>
            <w:r>
              <w:rPr>
                <w:rFonts w:ascii="Times New Roman" w:eastAsia="Times New Roman" w:hAnsi="Times New Roman" w:cs="Times New Roman"/>
                <w:b/>
                <w:smallCaps/>
                <w:sz w:val="24"/>
                <w:szCs w:val="20"/>
                <w:lang w:eastAsia="en-US"/>
              </w:rPr>
              <w:t xml:space="preserve"> Commune </w:t>
            </w:r>
          </w:p>
          <w:p w14:paraId="68D08399" w14:textId="77777777" w:rsidR="00AC7EA6" w:rsidRPr="006676B6" w:rsidRDefault="00AC7EA6" w:rsidP="008C5605">
            <w:pPr>
              <w:spacing w:line="256" w:lineRule="auto"/>
              <w:rPr>
                <w:rFonts w:ascii="Times New Roman" w:eastAsia="Times New Roman" w:hAnsi="Times New Roman" w:cs="Times New Roman"/>
                <w:bCs/>
                <w:smallCaps/>
                <w:sz w:val="20"/>
                <w:szCs w:val="20"/>
                <w:lang w:eastAsia="en-US"/>
              </w:rPr>
            </w:pPr>
          </w:p>
          <w:p w14:paraId="22557E31" w14:textId="77777777" w:rsidR="00AC7EA6" w:rsidRPr="006676B6" w:rsidRDefault="00AC7EA6" w:rsidP="008C5605">
            <w:pPr>
              <w:tabs>
                <w:tab w:val="left" w:pos="214"/>
                <w:tab w:val="center" w:pos="4536"/>
                <w:tab w:val="right" w:pos="9072"/>
              </w:tabs>
              <w:spacing w:line="256" w:lineRule="auto"/>
              <w:rPr>
                <w:rFonts w:ascii="Times New Roman" w:eastAsia="Times New Roman" w:hAnsi="Times New Roman" w:cs="Times New Roman"/>
                <w:b/>
                <w:smallCaps/>
                <w:sz w:val="24"/>
                <w:szCs w:val="20"/>
                <w:lang w:eastAsia="en-US"/>
              </w:rPr>
            </w:pPr>
            <w:r>
              <w:rPr>
                <w:rFonts w:ascii="Times New Roman" w:eastAsia="Times New Roman" w:hAnsi="Times New Roman" w:cs="Times New Roman"/>
                <w:bCs/>
                <w:smallCaps/>
                <w:sz w:val="20"/>
                <w:szCs w:val="20"/>
                <w:lang w:eastAsia="en-US"/>
              </w:rPr>
              <w:t xml:space="preserve">  </w:t>
            </w:r>
            <w:r>
              <w:rPr>
                <w:rFonts w:ascii="Times New Roman" w:eastAsia="Times New Roman" w:hAnsi="Times New Roman" w:cs="Times New Roman"/>
                <w:b/>
                <w:smallCaps/>
                <w:sz w:val="24"/>
                <w:szCs w:val="20"/>
                <w:lang w:eastAsia="en-US"/>
              </w:rPr>
              <w:t>Immeuble</w:t>
            </w:r>
          </w:p>
          <w:p w14:paraId="44D6F012" w14:textId="77777777" w:rsidR="00AC7EA6" w:rsidRPr="006676B6" w:rsidRDefault="00AC7EA6" w:rsidP="008C5605">
            <w:pPr>
              <w:tabs>
                <w:tab w:val="left" w:pos="214"/>
                <w:tab w:val="center" w:pos="4536"/>
                <w:tab w:val="right" w:pos="9072"/>
              </w:tabs>
              <w:spacing w:line="256" w:lineRule="auto"/>
              <w:rPr>
                <w:rFonts w:ascii="Times New Roman" w:eastAsia="Times New Roman" w:hAnsi="Times New Roman" w:cs="Times New Roman"/>
                <w:b/>
                <w:smallCaps/>
                <w:sz w:val="24"/>
                <w:szCs w:val="20"/>
                <w:lang w:eastAsia="en-US"/>
              </w:rPr>
            </w:pPr>
          </w:p>
          <w:p w14:paraId="04C4CD51" w14:textId="77777777" w:rsidR="00AC7EA6" w:rsidRPr="006676B6" w:rsidRDefault="00AC7EA6" w:rsidP="008C5605">
            <w:pPr>
              <w:tabs>
                <w:tab w:val="left" w:pos="214"/>
                <w:tab w:val="center" w:pos="4536"/>
                <w:tab w:val="right" w:pos="9072"/>
              </w:tabs>
              <w:spacing w:line="256" w:lineRule="auto"/>
              <w:rPr>
                <w:rFonts w:ascii="Times New Roman" w:eastAsia="Times New Roman" w:hAnsi="Times New Roman" w:cs="Times New Roman"/>
                <w:b/>
                <w:smallCaps/>
                <w:sz w:val="24"/>
                <w:szCs w:val="20"/>
                <w:lang w:eastAsia="en-US"/>
              </w:rPr>
            </w:pPr>
          </w:p>
          <w:p w14:paraId="0D0549B0" w14:textId="77777777" w:rsidR="00AC7EA6" w:rsidRPr="006676B6" w:rsidRDefault="00AC7EA6" w:rsidP="008C5605">
            <w:pPr>
              <w:tabs>
                <w:tab w:val="left" w:pos="214"/>
                <w:tab w:val="center" w:pos="4536"/>
                <w:tab w:val="right" w:pos="9072"/>
              </w:tabs>
              <w:spacing w:line="256" w:lineRule="auto"/>
              <w:rPr>
                <w:rFonts w:ascii="Times New Roman" w:eastAsia="Times New Roman" w:hAnsi="Times New Roman" w:cs="Times New Roman"/>
                <w:b/>
                <w:smallCaps/>
                <w:sz w:val="24"/>
                <w:szCs w:val="20"/>
                <w:lang w:eastAsia="en-US"/>
              </w:rPr>
            </w:pPr>
            <w:r>
              <w:rPr>
                <w:rFonts w:ascii="Times New Roman" w:eastAsia="Times New Roman" w:hAnsi="Times New Roman" w:cs="Times New Roman"/>
                <w:bCs/>
                <w:smallCaps/>
                <w:sz w:val="20"/>
                <w:szCs w:val="20"/>
                <w:lang w:eastAsia="en-US"/>
              </w:rPr>
              <w:t xml:space="preserve">  </w:t>
            </w:r>
            <w:r>
              <w:rPr>
                <w:rFonts w:ascii="Times New Roman" w:eastAsia="Times New Roman" w:hAnsi="Times New Roman" w:cs="Times New Roman"/>
                <w:b/>
                <w:smallCaps/>
                <w:sz w:val="24"/>
                <w:szCs w:val="20"/>
                <w:lang w:eastAsia="en-US"/>
              </w:rPr>
              <w:t>Intitulé</w:t>
            </w:r>
          </w:p>
          <w:p w14:paraId="1EE88D54" w14:textId="77777777" w:rsidR="00AC7EA6" w:rsidRPr="006676B6" w:rsidRDefault="00AC7EA6" w:rsidP="008C5605">
            <w:pPr>
              <w:tabs>
                <w:tab w:val="left" w:pos="214"/>
                <w:tab w:val="center" w:pos="4536"/>
                <w:tab w:val="right" w:pos="9072"/>
              </w:tabs>
              <w:spacing w:line="256" w:lineRule="auto"/>
              <w:rPr>
                <w:rFonts w:ascii="Times New Roman" w:eastAsia="Times New Roman" w:hAnsi="Times New Roman" w:cs="Times New Roman"/>
                <w:b/>
                <w:smallCaps/>
                <w:sz w:val="24"/>
                <w:szCs w:val="20"/>
                <w:lang w:eastAsia="en-US"/>
              </w:rPr>
            </w:pPr>
          </w:p>
          <w:p w14:paraId="5A827F52" w14:textId="77777777" w:rsidR="00AC7EA6" w:rsidRPr="006676B6" w:rsidRDefault="00AC7EA6" w:rsidP="008C5605">
            <w:pPr>
              <w:tabs>
                <w:tab w:val="left" w:pos="214"/>
                <w:tab w:val="center" w:pos="4536"/>
                <w:tab w:val="right" w:pos="9072"/>
              </w:tabs>
              <w:spacing w:line="256" w:lineRule="auto"/>
              <w:rPr>
                <w:rFonts w:ascii="Times New Roman" w:eastAsia="Times New Roman" w:hAnsi="Times New Roman" w:cs="Times New Roman"/>
                <w:b/>
                <w:smallCaps/>
                <w:sz w:val="24"/>
                <w:szCs w:val="20"/>
                <w:lang w:eastAsia="en-US"/>
              </w:rPr>
            </w:pPr>
          </w:p>
          <w:p w14:paraId="5B5B4248" w14:textId="77777777" w:rsidR="00AC7EA6" w:rsidRPr="006676B6" w:rsidRDefault="00AC7EA6" w:rsidP="008C5605">
            <w:pPr>
              <w:tabs>
                <w:tab w:val="center" w:pos="1843"/>
              </w:tabs>
              <w:spacing w:line="256" w:lineRule="auto"/>
              <w:rPr>
                <w:rFonts w:ascii="Times New Roman" w:eastAsia="Times New Roman" w:hAnsi="Times New Roman" w:cs="Times New Roman"/>
                <w:b/>
                <w:smallCaps/>
                <w:sz w:val="24"/>
                <w:szCs w:val="20"/>
                <w:lang w:eastAsia="en-US"/>
              </w:rPr>
            </w:pPr>
            <w:r>
              <w:rPr>
                <w:rFonts w:ascii="Times New Roman" w:eastAsia="Times New Roman" w:hAnsi="Times New Roman" w:cs="Times New Roman"/>
                <w:bCs/>
                <w:smallCaps/>
                <w:sz w:val="24"/>
                <w:szCs w:val="20"/>
                <w:lang w:eastAsia="en-US"/>
              </w:rPr>
              <w:t xml:space="preserve">  </w:t>
            </w:r>
            <w:r>
              <w:rPr>
                <w:rFonts w:ascii="Times New Roman" w:eastAsia="Times New Roman" w:hAnsi="Times New Roman" w:cs="Times New Roman"/>
                <w:b/>
                <w:smallCaps/>
                <w:sz w:val="24"/>
                <w:szCs w:val="20"/>
                <w:lang w:eastAsia="en-US"/>
              </w:rPr>
              <w:t>Lot</w:t>
            </w:r>
          </w:p>
        </w:tc>
        <w:tc>
          <w:tcPr>
            <w:tcW w:w="6568" w:type="dxa"/>
            <w:tcBorders>
              <w:top w:val="double" w:sz="6" w:space="0" w:color="auto"/>
              <w:left w:val="double" w:sz="6" w:space="0" w:color="auto"/>
              <w:bottom w:val="double" w:sz="6" w:space="0" w:color="auto"/>
              <w:right w:val="double" w:sz="6" w:space="0" w:color="auto"/>
            </w:tcBorders>
            <w:shd w:val="clear" w:color="auto" w:fill="D1D1D1" w:themeFill="background2" w:themeFillShade="E6"/>
          </w:tcPr>
          <w:p w14:paraId="570AA7A9" w14:textId="77777777" w:rsidR="00AC7EA6" w:rsidRPr="006676B6" w:rsidRDefault="00AC7EA6" w:rsidP="008C5605">
            <w:pPr>
              <w:tabs>
                <w:tab w:val="center" w:pos="1843"/>
              </w:tabs>
              <w:spacing w:line="256" w:lineRule="auto"/>
              <w:rPr>
                <w:rFonts w:ascii="Times New Roman" w:eastAsia="Times New Roman" w:hAnsi="Times New Roman" w:cs="Times New Roman"/>
                <w:b/>
                <w:smallCaps/>
                <w:sz w:val="24"/>
                <w:szCs w:val="24"/>
                <w:lang w:eastAsia="en-US"/>
              </w:rPr>
            </w:pPr>
            <w:r>
              <w:rPr>
                <w:rFonts w:ascii="Times New Roman" w:eastAsia="Times New Roman" w:hAnsi="Times New Roman" w:cs="Times New Roman"/>
                <w:bCs/>
                <w:smallCaps/>
                <w:sz w:val="24"/>
                <w:szCs w:val="24"/>
                <w:lang w:eastAsia="en-US"/>
              </w:rPr>
              <w:t xml:space="preserve">Projet n° </w:t>
            </w:r>
            <w:r>
              <w:rPr>
                <w:rFonts w:ascii="Times New Roman" w:eastAsia="Times New Roman" w:hAnsi="Times New Roman" w:cs="Times New Roman"/>
                <w:b/>
                <w:smallCaps/>
                <w:sz w:val="24"/>
                <w:szCs w:val="24"/>
                <w:lang w:eastAsia="en-US"/>
              </w:rPr>
              <w:t>25USID05-014</w:t>
            </w:r>
          </w:p>
          <w:p w14:paraId="4ECEE0A0" w14:textId="77777777" w:rsidR="00AC7EA6" w:rsidRPr="006676B6" w:rsidRDefault="00AC7EA6" w:rsidP="008C5605">
            <w:pPr>
              <w:spacing w:line="256" w:lineRule="auto"/>
              <w:rPr>
                <w:rFonts w:ascii="Times New Roman" w:eastAsia="Times New Roman" w:hAnsi="Times New Roman" w:cs="Times New Roman"/>
                <w:bCs/>
                <w:smallCaps/>
                <w:sz w:val="24"/>
                <w:szCs w:val="24"/>
                <w:lang w:eastAsia="en-US"/>
              </w:rPr>
            </w:pPr>
          </w:p>
          <w:p w14:paraId="73FD6B8E" w14:textId="36F15DEB" w:rsidR="00AC7EA6" w:rsidRPr="006676B6" w:rsidRDefault="00AC7EA6" w:rsidP="008C5605">
            <w:pPr>
              <w:keepNext/>
              <w:tabs>
                <w:tab w:val="center" w:pos="1843"/>
              </w:tabs>
              <w:spacing w:line="256" w:lineRule="auto"/>
              <w:outlineLvl w:val="7"/>
              <w:rPr>
                <w:rFonts w:ascii="Times New Roman" w:eastAsia="Times New Roman" w:hAnsi="Times New Roman" w:cs="Times New Roman"/>
                <w:b/>
                <w:bCs/>
                <w:smallCaps/>
                <w:sz w:val="24"/>
                <w:szCs w:val="24"/>
                <w:lang w:eastAsia="en-US"/>
              </w:rPr>
            </w:pPr>
            <w:r>
              <w:rPr>
                <w:rFonts w:ascii="Times New Roman" w:eastAsia="Times New Roman" w:hAnsi="Times New Roman" w:cs="Times New Roman"/>
                <w:b/>
                <w:bCs/>
                <w:smallCaps/>
                <w:sz w:val="24"/>
                <w:szCs w:val="24"/>
                <w:lang w:eastAsia="en-US"/>
              </w:rPr>
              <w:t xml:space="preserve">BESANCON (25) – </w:t>
            </w:r>
          </w:p>
          <w:p w14:paraId="5C1414E1" w14:textId="77777777" w:rsidR="00AC7EA6" w:rsidRPr="006676B6" w:rsidRDefault="00AC7EA6" w:rsidP="008C5605">
            <w:pPr>
              <w:spacing w:line="256" w:lineRule="auto"/>
              <w:ind w:right="872"/>
              <w:rPr>
                <w:rFonts w:ascii="Times New Roman" w:eastAsia="Times New Roman" w:hAnsi="Times New Roman" w:cs="Times New Roman"/>
                <w:bCs/>
                <w:smallCaps/>
                <w:sz w:val="20"/>
                <w:szCs w:val="20"/>
                <w:lang w:eastAsia="en-US"/>
              </w:rPr>
            </w:pPr>
          </w:p>
          <w:p w14:paraId="0971E3F8" w14:textId="302E83B2" w:rsidR="00AC7EA6" w:rsidRPr="006676B6" w:rsidRDefault="00AC7EA6" w:rsidP="008C5605">
            <w:pPr>
              <w:keepNext/>
              <w:tabs>
                <w:tab w:val="center" w:pos="1843"/>
              </w:tabs>
              <w:spacing w:line="256" w:lineRule="auto"/>
              <w:outlineLvl w:val="7"/>
              <w:rPr>
                <w:rFonts w:ascii="Times New Roman" w:eastAsia="Times New Roman" w:hAnsi="Times New Roman" w:cs="Times New Roman"/>
                <w:b/>
                <w:bCs/>
                <w:smallCaps/>
                <w:sz w:val="24"/>
                <w:szCs w:val="24"/>
                <w:lang w:eastAsia="en-US"/>
              </w:rPr>
            </w:pPr>
            <w:r>
              <w:rPr>
                <w:rFonts w:ascii="Times New Roman" w:eastAsia="Times New Roman" w:hAnsi="Times New Roman" w:cs="Times New Roman"/>
                <w:b/>
                <w:bCs/>
                <w:smallCaps/>
                <w:sz w:val="24"/>
                <w:szCs w:val="24"/>
                <w:lang w:eastAsia="en-US"/>
              </w:rPr>
              <w:t>Quartier BRUN – Bâtiment 87 et Bâtiments 72, 73, 74 (H) – Réhabilitation des bâtiments</w:t>
            </w:r>
          </w:p>
          <w:p w14:paraId="7143479B" w14:textId="77777777" w:rsidR="00AC7EA6" w:rsidRPr="006676B6" w:rsidRDefault="00AC7EA6" w:rsidP="008C5605">
            <w:pPr>
              <w:keepNext/>
              <w:tabs>
                <w:tab w:val="center" w:pos="1843"/>
              </w:tabs>
              <w:spacing w:line="256" w:lineRule="auto"/>
              <w:outlineLvl w:val="7"/>
              <w:rPr>
                <w:rFonts w:ascii="Times New Roman" w:eastAsia="Times New Roman" w:hAnsi="Times New Roman" w:cs="Times New Roman"/>
                <w:b/>
                <w:bCs/>
                <w:smallCaps/>
                <w:sz w:val="24"/>
                <w:szCs w:val="24"/>
                <w:lang w:eastAsia="en-US"/>
              </w:rPr>
            </w:pPr>
          </w:p>
          <w:p w14:paraId="3D1EED16" w14:textId="4D2847C0" w:rsidR="00AC7EA6" w:rsidRPr="006676B6" w:rsidRDefault="001B52C1" w:rsidP="008C5605">
            <w:pPr>
              <w:keepNext/>
              <w:tabs>
                <w:tab w:val="center" w:pos="1843"/>
              </w:tabs>
              <w:spacing w:line="256" w:lineRule="auto"/>
              <w:outlineLvl w:val="7"/>
              <w:rPr>
                <w:rFonts w:ascii="Times New Roman" w:eastAsia="Times New Roman" w:hAnsi="Times New Roman" w:cs="Times New Roman"/>
                <w:b/>
                <w:bCs/>
                <w:smallCaps/>
                <w:sz w:val="24"/>
                <w:szCs w:val="24"/>
                <w:lang w:eastAsia="en-US"/>
              </w:rPr>
            </w:pPr>
            <w:r>
              <w:rPr>
                <w:rFonts w:ascii="Times New Roman" w:eastAsia="Times New Roman" w:hAnsi="Times New Roman" w:cs="Times New Roman"/>
                <w:b/>
                <w:bCs/>
                <w:smallCaps/>
                <w:sz w:val="24"/>
                <w:szCs w:val="24"/>
                <w:lang w:eastAsia="en-US"/>
              </w:rPr>
              <w:t>LOT N°2 : SECOND-ŒUVRE</w:t>
            </w:r>
          </w:p>
          <w:p w14:paraId="667A2E7F" w14:textId="77777777" w:rsidR="00AC7EA6" w:rsidRPr="006676B6" w:rsidRDefault="00AC7EA6" w:rsidP="008C5605">
            <w:pPr>
              <w:spacing w:line="256" w:lineRule="auto"/>
              <w:rPr>
                <w:rFonts w:ascii="Times New Roman" w:eastAsia="Times New Roman" w:hAnsi="Times New Roman" w:cs="Times New Roman"/>
                <w:bCs/>
                <w:smallCaps/>
                <w:sz w:val="20"/>
                <w:szCs w:val="20"/>
                <w:lang w:eastAsia="en-US"/>
              </w:rPr>
            </w:pPr>
          </w:p>
        </w:tc>
      </w:tr>
    </w:tbl>
    <w:p w14:paraId="6EDB066B" w14:textId="1D97F0E7" w:rsidR="005677BE" w:rsidRPr="00AC7EA6" w:rsidRDefault="005677BE">
      <w:pPr>
        <w:spacing w:before="40" w:after="40"/>
        <w:rPr>
          <w:rFonts w:ascii="Times New Roman" w:hAnsi="Times New Roman" w:cs="Times New Roman"/>
          <w:b/>
          <w:bCs/>
          <w:sz w:val="20"/>
          <w:szCs w:val="20"/>
        </w:rPr>
      </w:pPr>
    </w:p>
    <w:tbl>
      <w:tblPr>
        <w:tblW w:w="5471" w:type="dxa"/>
        <w:tblInd w:w="2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471"/>
      </w:tblGrid>
      <w:tr w:rsidR="005677BE" w:rsidRPr="00AC7EA6" w14:paraId="4352D941" w14:textId="77777777" w:rsidTr="00AC7EA6">
        <w:trPr>
          <w:trHeight w:val="708"/>
        </w:trPr>
        <w:tc>
          <w:tcPr>
            <w:tcW w:w="5471" w:type="dxa"/>
            <w:tcMar>
              <w:top w:w="40" w:type="dxa"/>
              <w:left w:w="80" w:type="dxa"/>
              <w:bottom w:w="40" w:type="dxa"/>
              <w:right w:w="80" w:type="dxa"/>
            </w:tcMar>
            <w:vAlign w:val="center"/>
          </w:tcPr>
          <w:p w14:paraId="45C625D1" w14:textId="77777777" w:rsidR="00AC7EA6" w:rsidRPr="00375E6D" w:rsidRDefault="00AC7EA6" w:rsidP="00AC7EA6">
            <w:pPr>
              <w:tabs>
                <w:tab w:val="left" w:pos="1418"/>
                <w:tab w:val="left" w:pos="5103"/>
              </w:tabs>
              <w:spacing w:line="256" w:lineRule="auto"/>
              <w:jc w:val="center"/>
              <w:rPr>
                <w:rFonts w:ascii="Times New Roman" w:hAnsi="Times New Roman" w:cs="Times New Roman"/>
                <w:b/>
                <w:smallCaps/>
                <w:sz w:val="20"/>
                <w:lang w:eastAsia="en-US"/>
              </w:rPr>
            </w:pPr>
            <w:r>
              <w:rPr>
                <w:rFonts w:ascii="Times New Roman" w:hAnsi="Times New Roman" w:cs="Times New Roman"/>
                <w:b/>
                <w:smallCaps/>
                <w:sz w:val="20"/>
                <w:lang w:eastAsia="en-US"/>
              </w:rPr>
              <w:t>IMPORTANT</w:t>
            </w:r>
          </w:p>
          <w:p w14:paraId="5DA58AB5" w14:textId="77777777" w:rsidR="00AC7EA6" w:rsidRPr="00375E6D" w:rsidRDefault="00AC7EA6" w:rsidP="00AC7EA6">
            <w:pPr>
              <w:tabs>
                <w:tab w:val="left" w:pos="1418"/>
                <w:tab w:val="left" w:pos="5103"/>
              </w:tabs>
              <w:spacing w:line="256" w:lineRule="auto"/>
              <w:jc w:val="center"/>
              <w:rPr>
                <w:rFonts w:ascii="Times New Roman" w:hAnsi="Times New Roman" w:cs="Times New Roman"/>
                <w:b/>
                <w:smallCaps/>
                <w:sz w:val="20"/>
                <w:lang w:eastAsia="en-US"/>
              </w:rPr>
            </w:pPr>
          </w:p>
          <w:p w14:paraId="32C71C0B" w14:textId="77777777" w:rsidR="00AC7EA6" w:rsidRPr="00375E6D" w:rsidRDefault="00AC7EA6" w:rsidP="00AC7EA6">
            <w:pPr>
              <w:tabs>
                <w:tab w:val="left" w:pos="1418"/>
                <w:tab w:val="left" w:pos="5103"/>
              </w:tabs>
              <w:spacing w:line="256" w:lineRule="auto"/>
              <w:jc w:val="center"/>
              <w:rPr>
                <w:rFonts w:ascii="Times New Roman" w:hAnsi="Times New Roman" w:cs="Times New Roman"/>
                <w:b/>
                <w:smallCaps/>
                <w:sz w:val="20"/>
                <w:lang w:eastAsia="en-US"/>
              </w:rPr>
            </w:pPr>
            <w:r>
              <w:rPr>
                <w:rFonts w:ascii="Times New Roman" w:hAnsi="Times New Roman" w:cs="Times New Roman"/>
                <w:b/>
                <w:smallCaps/>
                <w:sz w:val="20"/>
                <w:lang w:eastAsia="en-US"/>
              </w:rPr>
              <w:t>TOUS LES POSTES DE LA DPGF DOIVENT ETRE RENSEIGNES IMPERATIVEMENT</w:t>
            </w:r>
          </w:p>
          <w:p w14:paraId="1B8BA71E" w14:textId="77777777" w:rsidR="00AC7EA6" w:rsidRPr="00375E6D" w:rsidRDefault="00AC7EA6" w:rsidP="00AC7EA6">
            <w:pPr>
              <w:tabs>
                <w:tab w:val="left" w:pos="1418"/>
                <w:tab w:val="left" w:pos="5103"/>
              </w:tabs>
              <w:spacing w:line="256" w:lineRule="auto"/>
              <w:jc w:val="center"/>
              <w:rPr>
                <w:rFonts w:ascii="Times New Roman" w:hAnsi="Times New Roman" w:cs="Times New Roman"/>
                <w:b/>
                <w:smallCaps/>
                <w:sz w:val="20"/>
                <w:lang w:eastAsia="en-US"/>
              </w:rPr>
            </w:pPr>
          </w:p>
          <w:p w14:paraId="5796EA8F" w14:textId="77777777" w:rsidR="00AC7EA6" w:rsidRPr="00375E6D" w:rsidRDefault="00AC7EA6" w:rsidP="00AC7EA6">
            <w:pPr>
              <w:tabs>
                <w:tab w:val="left" w:pos="1418"/>
                <w:tab w:val="left" w:pos="5103"/>
              </w:tabs>
              <w:spacing w:line="256" w:lineRule="auto"/>
              <w:jc w:val="center"/>
              <w:rPr>
                <w:rFonts w:ascii="Times New Roman" w:hAnsi="Times New Roman" w:cs="Times New Roman"/>
                <w:b/>
                <w:smallCaps/>
                <w:sz w:val="20"/>
                <w:lang w:eastAsia="en-US"/>
              </w:rPr>
            </w:pPr>
            <w:r>
              <w:rPr>
                <w:rFonts w:ascii="Times New Roman" w:hAnsi="Times New Roman" w:cs="Times New Roman"/>
                <w:b/>
                <w:smallCaps/>
                <w:sz w:val="20"/>
                <w:lang w:eastAsia="en-US"/>
              </w:rPr>
              <w:t>NE SONT PAS ADMIS</w:t>
            </w:r>
          </w:p>
          <w:p w14:paraId="53B166C9" w14:textId="77777777" w:rsidR="00AC7EA6" w:rsidRPr="00375E6D" w:rsidRDefault="00AC7EA6" w:rsidP="00AC7EA6">
            <w:pPr>
              <w:tabs>
                <w:tab w:val="left" w:pos="1418"/>
                <w:tab w:val="left" w:pos="5103"/>
              </w:tabs>
              <w:spacing w:line="256" w:lineRule="auto"/>
              <w:jc w:val="center"/>
              <w:rPr>
                <w:rFonts w:ascii="Times New Roman" w:hAnsi="Times New Roman" w:cs="Times New Roman"/>
                <w:b/>
                <w:smallCaps/>
                <w:sz w:val="20"/>
                <w:lang w:eastAsia="en-US"/>
              </w:rPr>
            </w:pPr>
          </w:p>
          <w:p w14:paraId="57C10A01" w14:textId="77777777" w:rsidR="00AC7EA6" w:rsidRPr="00375E6D" w:rsidRDefault="00AC7EA6" w:rsidP="00AC7EA6">
            <w:pPr>
              <w:numPr>
                <w:ilvl w:val="0"/>
                <w:numId w:val="2"/>
              </w:numPr>
              <w:tabs>
                <w:tab w:val="left" w:pos="1418"/>
                <w:tab w:val="left" w:pos="5103"/>
              </w:tabs>
              <w:spacing w:line="256" w:lineRule="auto"/>
              <w:ind w:firstLine="56"/>
              <w:rPr>
                <w:rFonts w:ascii="Times New Roman" w:hAnsi="Times New Roman" w:cs="Times New Roman"/>
                <w:b/>
                <w:smallCaps/>
                <w:sz w:val="20"/>
                <w:lang w:eastAsia="en-US"/>
              </w:rPr>
            </w:pPr>
            <w:r>
              <w:rPr>
                <w:rFonts w:ascii="Times New Roman" w:hAnsi="Times New Roman" w:cs="Times New Roman"/>
                <w:b/>
                <w:smallCaps/>
                <w:sz w:val="20"/>
                <w:lang w:eastAsia="en-US"/>
              </w:rPr>
              <w:t>LES POSTES « NON CHIFFRES »</w:t>
            </w:r>
          </w:p>
          <w:p w14:paraId="23A9B22A" w14:textId="77777777" w:rsidR="00AC7EA6" w:rsidRPr="00375E6D" w:rsidRDefault="00AC7EA6" w:rsidP="00AC7EA6">
            <w:pPr>
              <w:numPr>
                <w:ilvl w:val="0"/>
                <w:numId w:val="2"/>
              </w:numPr>
              <w:tabs>
                <w:tab w:val="left" w:pos="1418"/>
                <w:tab w:val="left" w:pos="5103"/>
              </w:tabs>
              <w:spacing w:line="256" w:lineRule="auto"/>
              <w:ind w:firstLine="56"/>
              <w:rPr>
                <w:rFonts w:ascii="Times New Roman" w:hAnsi="Times New Roman" w:cs="Times New Roman"/>
                <w:b/>
                <w:smallCaps/>
                <w:sz w:val="20"/>
                <w:lang w:eastAsia="en-US"/>
              </w:rPr>
            </w:pPr>
            <w:r>
              <w:rPr>
                <w:rFonts w:ascii="Times New Roman" w:hAnsi="Times New Roman" w:cs="Times New Roman"/>
                <w:b/>
                <w:smallCaps/>
                <w:sz w:val="20"/>
                <w:lang w:eastAsia="en-US"/>
              </w:rPr>
              <w:t>LES POSTES « POUR MEMOIRE »</w:t>
            </w:r>
          </w:p>
          <w:p w14:paraId="4024BB04" w14:textId="77777777" w:rsidR="00AC7EA6" w:rsidRPr="00375E6D" w:rsidRDefault="00AC7EA6" w:rsidP="00AC7EA6">
            <w:pPr>
              <w:numPr>
                <w:ilvl w:val="0"/>
                <w:numId w:val="2"/>
              </w:numPr>
              <w:tabs>
                <w:tab w:val="left" w:pos="1418"/>
                <w:tab w:val="left" w:pos="2410"/>
              </w:tabs>
              <w:spacing w:line="256" w:lineRule="auto"/>
              <w:ind w:firstLine="56"/>
              <w:rPr>
                <w:rFonts w:ascii="Times New Roman" w:hAnsi="Times New Roman" w:cs="Times New Roman"/>
                <w:b/>
                <w:smallCaps/>
                <w:sz w:val="20"/>
                <w:lang w:eastAsia="en-US"/>
              </w:rPr>
            </w:pPr>
            <w:r>
              <w:rPr>
                <w:rFonts w:ascii="Times New Roman" w:hAnsi="Times New Roman" w:cs="Times New Roman"/>
                <w:b/>
                <w:smallCaps/>
                <w:sz w:val="20"/>
                <w:lang w:eastAsia="en-US"/>
              </w:rPr>
              <w:t xml:space="preserve">LES POSTES « INCLUS »    </w:t>
            </w:r>
          </w:p>
          <w:p w14:paraId="7A26F35B" w14:textId="77F3D05E" w:rsidR="005677BE" w:rsidRPr="00AC7EA6" w:rsidRDefault="005677BE" w:rsidP="00AC7EA6">
            <w:pPr>
              <w:spacing w:before="40" w:after="40"/>
              <w:rPr>
                <w:rFonts w:ascii="Times New Roman" w:hAnsi="Times New Roman" w:cs="Times New Roman"/>
                <w:b/>
                <w:smallCaps/>
                <w:sz w:val="20"/>
                <w:lang w:eastAsia="en-US"/>
              </w:rPr>
            </w:pPr>
          </w:p>
        </w:tc>
      </w:tr>
    </w:tbl>
    <w:p w14:paraId="5C655B5E" w14:textId="77777777" w:rsidR="005677BE" w:rsidRPr="00AC7EA6" w:rsidRDefault="005677BE" w:rsidP="00AC7EA6">
      <w:pPr>
        <w:spacing w:before="40" w:after="40"/>
        <w:rPr>
          <w:rFonts w:ascii="Times New Roman" w:hAnsi="Times New Roman" w:cs="Times New Roman"/>
          <w:b/>
          <w:bCs/>
          <w:sz w:val="20"/>
          <w:szCs w:val="20"/>
        </w:rPr>
      </w:pPr>
    </w:p>
    <w:p w14:paraId="376F0D4D" w14:textId="77777777" w:rsidR="005677BE" w:rsidRPr="00AC7EA6" w:rsidRDefault="00A169ED" w:rsidP="00AC7EA6">
      <w:pPr>
        <w:spacing w:before="40" w:after="40"/>
        <w:rPr>
          <w:rFonts w:ascii="Times New Roman" w:hAnsi="Times New Roman" w:cs="Times New Roman"/>
          <w:b/>
          <w:bCs/>
          <w:sz w:val="20"/>
          <w:szCs w:val="20"/>
        </w:rPr>
      </w:pPr>
      <w:r>
        <w:rPr>
          <w:rFonts w:ascii="Times New Roman" w:hAnsi="Times New Roman" w:cs="Times New Roman"/>
          <w:b/>
          <w:bCs/>
          <w:sz w:val="20"/>
          <w:szCs w:val="20"/>
        </w:rPr>
        <w:t>NOTA – MODALITÉS D’ÉTABLISSEMENT DES PRIX</w:t>
      </w:r>
    </w:p>
    <w:p w14:paraId="3A5E08E2" w14:textId="77777777" w:rsidR="005677BE" w:rsidRPr="00AC7EA6" w:rsidRDefault="00A169ED" w:rsidP="00D16DAD">
      <w:pPr>
        <w:spacing w:before="40" w:after="40"/>
        <w:jc w:val="both"/>
        <w:rPr>
          <w:rFonts w:ascii="Times New Roman" w:hAnsi="Times New Roman" w:cs="Times New Roman"/>
          <w:bCs/>
          <w:sz w:val="20"/>
          <w:szCs w:val="20"/>
        </w:rPr>
      </w:pPr>
      <w:r>
        <w:rPr>
          <w:rFonts w:ascii="Times New Roman" w:hAnsi="Times New Roman" w:cs="Times New Roman"/>
          <w:bCs/>
          <w:sz w:val="20"/>
          <w:szCs w:val="20"/>
        </w:rPr>
        <w:t>1. Le présent DPGF est indissociable du CCTP du lot n°2 « Second-Œuvre » (sections techniques 1 et 2), du CCAP, du carnet de plans (états existant et projeté des bâtiments 087 et H 072-073-074) ainsi que des diagnostics amiante et plomb avant travaux. Chaque prix rémunère l’ouvrage complet, fini, en ordre de marche, toutes sujétions comprises, conformément aux prescriptions du CCTP. L’installation de chantier commune est prise en compte par le lot n°1.</w:t>
      </w:r>
    </w:p>
    <w:p w14:paraId="44878BA3" w14:textId="77777777" w:rsidR="005677BE" w:rsidRPr="00AC7EA6" w:rsidRDefault="00A169ED" w:rsidP="00D16DAD">
      <w:pPr>
        <w:spacing w:before="40" w:after="40"/>
        <w:jc w:val="both"/>
        <w:rPr>
          <w:rFonts w:ascii="Times New Roman" w:hAnsi="Times New Roman" w:cs="Times New Roman"/>
          <w:bCs/>
          <w:sz w:val="20"/>
          <w:szCs w:val="20"/>
        </w:rPr>
      </w:pPr>
      <w:r>
        <w:rPr>
          <w:rFonts w:ascii="Times New Roman" w:hAnsi="Times New Roman" w:cs="Times New Roman"/>
          <w:bCs/>
          <w:sz w:val="20"/>
          <w:szCs w:val="20"/>
        </w:rPr>
        <w:t>2. Conformément à l’article 2.3 du CCTP, le candidat est réputé avoir pris connaissance des lieux, du carnet de plans et de la consistance exacte des travaux (relevé des cotes sur place à la charge du titulaire, exécution sur mesure), et avoir intégré dans son prix global et forfaitaire l’ensemble des ouvrages et sujétions nécessaires à la parfaite exécution des travaux.</w:t>
      </w:r>
    </w:p>
    <w:p w14:paraId="1F04B546" w14:textId="77777777" w:rsidR="005677BE" w:rsidRPr="00AC7EA6" w:rsidRDefault="00A169ED" w:rsidP="00D16DAD">
      <w:pPr>
        <w:spacing w:before="40" w:after="40"/>
        <w:jc w:val="both"/>
        <w:rPr>
          <w:rFonts w:ascii="Times New Roman" w:hAnsi="Times New Roman" w:cs="Times New Roman"/>
          <w:bCs/>
          <w:sz w:val="20"/>
          <w:szCs w:val="20"/>
        </w:rPr>
      </w:pPr>
      <w:r>
        <w:rPr>
          <w:rFonts w:ascii="Times New Roman" w:hAnsi="Times New Roman" w:cs="Times New Roman"/>
          <w:bCs/>
          <w:sz w:val="20"/>
          <w:szCs w:val="20"/>
        </w:rPr>
        <w:t>3. Chaque prix intègre : les études, calculs et plans d’exécution soumis au visa du maître d’œuvre et du contrôleur technique, les fiches techniques et procès-verbaux (classements feu, acoustiques, UPEC, réaction au feu), les échantillons et surfaces témoins, la main-d’œuvre, les fournitures, échafaudages et moyens d’accès, les essais, les retouches, la protection des ouvrages finis, la gestion et l’évacuation des déchets en filières agréées avec bordereaux de suivi (BSD) et document SOGED, ainsi que les sujétions liées au site militaire (accès, contrôles, horaires, consignes de sûreté du Quartier Brun).</w:t>
      </w:r>
    </w:p>
    <w:p w14:paraId="43A1BC5C" w14:textId="7B1197CA" w:rsidR="005677BE" w:rsidRDefault="00A169ED" w:rsidP="00D16DAD">
      <w:pPr>
        <w:spacing w:before="40" w:after="40"/>
        <w:jc w:val="both"/>
        <w:rPr>
          <w:rFonts w:ascii="Times New Roman" w:hAnsi="Times New Roman" w:cs="Times New Roman"/>
          <w:bCs/>
          <w:sz w:val="20"/>
          <w:szCs w:val="20"/>
        </w:rPr>
      </w:pPr>
      <w:r>
        <w:rPr>
          <w:rFonts w:ascii="Times New Roman" w:hAnsi="Times New Roman" w:cs="Times New Roman"/>
          <w:bCs/>
          <w:sz w:val="20"/>
          <w:szCs w:val="20"/>
        </w:rPr>
        <w:t>4. En cas de discordance entre plans et descriptif, la solution la plus onéreuse est réputée incluse dans les prix (article 2.3 du CCTP). Le titulaire intervient immédiatement après le gros œuvre ; coordination impérative avec le lot n°3 (technique) pour les réservations, gaines techniques, fourreaux, renforts et passages. Les produits de peinture seront de classe A+ (émissions COV) ; la partie neuve (extension) est soumise à la RE2020.</w:t>
      </w:r>
    </w:p>
    <w:p w14:paraId="6CF90AEE" w14:textId="77777777" w:rsidR="0080144C" w:rsidRPr="00AC7EA6" w:rsidRDefault="0080144C" w:rsidP="00D16DAD">
      <w:pPr>
        <w:spacing w:before="40" w:after="40"/>
        <w:jc w:val="both"/>
        <w:rPr>
          <w:rFonts w:ascii="Times New Roman" w:hAnsi="Times New Roman" w:cs="Times New Roman"/>
          <w:bCs/>
          <w:sz w:val="20"/>
          <w:szCs w:val="20"/>
        </w:rPr>
      </w:pPr>
    </w:p>
    <w:p w14:paraId="2EC3DC75" w14:textId="77777777" w:rsidR="005677BE" w:rsidRPr="00AC7EA6" w:rsidRDefault="00A169ED">
      <w:pPr>
        <w:spacing w:before="40" w:after="60"/>
        <w:jc w:val="center"/>
        <w:rPr>
          <w:rFonts w:ascii="Times New Roman" w:hAnsi="Times New Roman" w:cs="Times New Roman"/>
        </w:rPr>
      </w:pPr>
      <w:r>
        <w:rPr>
          <w:rFonts w:ascii="Times New Roman" w:hAnsi="Times New Roman" w:cs="Times New Roman"/>
          <w:b/>
        </w:rPr>
        <w:lastRenderedPageBreak/>
        <w:t>DÉCOMPOSITION DU PRIX GLOBAL ET FORFAITAIRE (D.P.G.F.)</w:t>
      </w:r>
    </w:p>
    <w:p w14:paraId="2AED2F79" w14:textId="442A554D" w:rsidR="005677BE" w:rsidRPr="00AC7EA6" w:rsidRDefault="00A169ED">
      <w:pPr>
        <w:spacing w:before="40" w:after="160"/>
        <w:jc w:val="center"/>
        <w:rPr>
          <w:rFonts w:ascii="Times New Roman" w:hAnsi="Times New Roman" w:cs="Times New Roman"/>
        </w:rPr>
      </w:pPr>
      <w:r>
        <w:rPr>
          <w:rFonts w:ascii="Times New Roman" w:hAnsi="Times New Roman" w:cs="Times New Roman"/>
          <w:b/>
          <w:bCs/>
          <w:sz w:val="20"/>
          <w:szCs w:val="20"/>
        </w:rPr>
        <w:t>LOT N° 02 : SEC</w:t>
      </w:r>
      <w:r w:rsidR="00CE5F83">
        <w:rPr>
          <w:rFonts w:ascii="Times New Roman" w:hAnsi="Times New Roman" w:cs="Times New Roman"/>
          <w:b/>
          <w:bCs/>
          <w:sz w:val="20"/>
          <w:szCs w:val="20"/>
        </w:rPr>
        <w:t>OND-ŒUVRE –</w:t>
      </w:r>
      <w:bookmarkStart w:id="0" w:name="_GoBack"/>
      <w:bookmarkEnd w:id="0"/>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150"/>
        <w:gridCol w:w="7492"/>
        <w:gridCol w:w="1843"/>
      </w:tblGrid>
      <w:tr w:rsidR="0029529F" w:rsidRPr="00AC7EA6" w14:paraId="73D26F18" w14:textId="77777777" w:rsidTr="0029529F">
        <w:trPr>
          <w:tblHeader/>
        </w:trPr>
        <w:tc>
          <w:tcPr>
            <w:tcW w:w="1150" w:type="dxa"/>
            <w:shd w:val="clear" w:color="auto" w:fill="D9D9D9"/>
            <w:tcMar>
              <w:top w:w="40" w:type="dxa"/>
              <w:left w:w="80" w:type="dxa"/>
              <w:bottom w:w="40" w:type="dxa"/>
              <w:right w:w="80" w:type="dxa"/>
            </w:tcMar>
            <w:vAlign w:val="center"/>
          </w:tcPr>
          <w:p w14:paraId="68430CEC"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b/>
              </w:rPr>
              <w:t>Réf. CCTP</w:t>
            </w:r>
          </w:p>
        </w:tc>
        <w:tc>
          <w:tcPr>
            <w:tcW w:w="7492" w:type="dxa"/>
            <w:shd w:val="clear" w:color="auto" w:fill="D9D9D9"/>
            <w:tcMar>
              <w:top w:w="40" w:type="dxa"/>
              <w:left w:w="80" w:type="dxa"/>
              <w:bottom w:w="40" w:type="dxa"/>
              <w:right w:w="80" w:type="dxa"/>
            </w:tcMar>
            <w:vAlign w:val="center"/>
          </w:tcPr>
          <w:p w14:paraId="6F539D03"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b/>
              </w:rPr>
              <w:t>Désignation des ouvrages</w:t>
            </w:r>
          </w:p>
        </w:tc>
        <w:tc>
          <w:tcPr>
            <w:tcW w:w="1843" w:type="dxa"/>
            <w:shd w:val="clear" w:color="auto" w:fill="D9D9D9"/>
            <w:tcMar>
              <w:top w:w="40" w:type="dxa"/>
              <w:left w:w="80" w:type="dxa"/>
              <w:bottom w:w="40" w:type="dxa"/>
              <w:right w:w="80" w:type="dxa"/>
            </w:tcMar>
            <w:vAlign w:val="center"/>
          </w:tcPr>
          <w:p w14:paraId="32BC1084"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b/>
              </w:rPr>
              <w:t>Montant total € HT</w:t>
            </w:r>
          </w:p>
        </w:tc>
      </w:tr>
      <w:tr w:rsidR="0029529F" w:rsidRPr="00AC7EA6" w14:paraId="4E670B4A" w14:textId="77777777" w:rsidTr="0029529F">
        <w:tc>
          <w:tcPr>
            <w:tcW w:w="1150" w:type="dxa"/>
            <w:tcMar>
              <w:top w:w="40" w:type="dxa"/>
              <w:left w:w="80" w:type="dxa"/>
              <w:bottom w:w="40" w:type="dxa"/>
              <w:right w:w="80" w:type="dxa"/>
            </w:tcMar>
            <w:vAlign w:val="center"/>
          </w:tcPr>
          <w:p w14:paraId="4C3AE379"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3.1.1.1</w:t>
            </w:r>
          </w:p>
        </w:tc>
        <w:tc>
          <w:tcPr>
            <w:tcW w:w="7492" w:type="dxa"/>
            <w:tcMar>
              <w:top w:w="40" w:type="dxa"/>
              <w:left w:w="80" w:type="dxa"/>
              <w:bottom w:w="40" w:type="dxa"/>
              <w:right w:w="80" w:type="dxa"/>
            </w:tcMar>
            <w:vAlign w:val="center"/>
          </w:tcPr>
          <w:p w14:paraId="0A35787F"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1.1.1 – Doublage isolant des murs périphériques – bâtiment 87 corps principal</w:t>
            </w:r>
          </w:p>
          <w:p w14:paraId="405C43F4"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Complexe de doublage sur ossature métallique galvanisée (rails et montants) : laine de roche semi-rigide ép. 160 mm (Euroclasse A1 ou A2-s1,d0), parement plaques de plâtre BA13, résistance thermique R ≥ 4,50 m².K/W (ou valeur supérieure de l’étude thermique). Y compris découpes, ajustements, traitement des ponts thermiques, des ébrasements de fenêtres et raccords aux menuiseries extérieures, jonctions planchers/plafonds/cloisons, sujétions de passage des réseaux, continuité de l’étanchéité à l’air (périphérie des baies, joints, seuils, appuis, en sol), fixations, accessoires et renforts. Doublage des murs en pierre en périphérie intérieure, RDC et étage, toutes façades, y compris dans les faux plafonds, après préparation des supports.</w:t>
            </w:r>
          </w:p>
        </w:tc>
        <w:tc>
          <w:tcPr>
            <w:tcW w:w="1843" w:type="dxa"/>
            <w:tcMar>
              <w:top w:w="40" w:type="dxa"/>
              <w:left w:w="80" w:type="dxa"/>
              <w:bottom w:w="40" w:type="dxa"/>
              <w:right w:w="80" w:type="dxa"/>
            </w:tcMar>
            <w:vAlign w:val="center"/>
          </w:tcPr>
          <w:p w14:paraId="73B3A8FE" w14:textId="77777777" w:rsidR="0029529F" w:rsidRPr="00AC7EA6" w:rsidRDefault="0029529F">
            <w:pPr>
              <w:spacing w:before="40" w:after="40"/>
              <w:rPr>
                <w:rFonts w:ascii="Times New Roman" w:hAnsi="Times New Roman" w:cs="Times New Roman"/>
              </w:rPr>
            </w:pPr>
          </w:p>
        </w:tc>
      </w:tr>
      <w:tr w:rsidR="0029529F" w:rsidRPr="00AC7EA6" w14:paraId="314BB3E2" w14:textId="77777777" w:rsidTr="0029529F">
        <w:tc>
          <w:tcPr>
            <w:tcW w:w="1150" w:type="dxa"/>
            <w:tcMar>
              <w:top w:w="40" w:type="dxa"/>
              <w:left w:w="80" w:type="dxa"/>
              <w:bottom w:w="40" w:type="dxa"/>
              <w:right w:w="80" w:type="dxa"/>
            </w:tcMar>
            <w:vAlign w:val="center"/>
          </w:tcPr>
          <w:p w14:paraId="6228E8D4"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3.1.1.2</w:t>
            </w:r>
          </w:p>
        </w:tc>
        <w:tc>
          <w:tcPr>
            <w:tcW w:w="7492" w:type="dxa"/>
            <w:tcMar>
              <w:top w:w="40" w:type="dxa"/>
              <w:left w:w="80" w:type="dxa"/>
              <w:bottom w:w="40" w:type="dxa"/>
              <w:right w:w="80" w:type="dxa"/>
            </w:tcMar>
            <w:vAlign w:val="center"/>
          </w:tcPr>
          <w:p w14:paraId="5678E9C7"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1.1.2 – Doublage isolant hydrofuge – bâtiment 87 extension (RDC et R+1)</w:t>
            </w:r>
          </w:p>
          <w:p w14:paraId="77AD4C2F"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Idem article 1.1.1 avec plus-value pour plaques de plâtre hydrofuges dans la partie extension : protection contre l’humidité en pied par U plastique posé sur double cordon de mastic d’étanchéité, ensemble des joints et raccords entre parois verticales et plafonds, parfaite étanchéité à l’air (périphérie des baies, joints de dilatation, seuils, appuis, en sol).</w:t>
            </w:r>
          </w:p>
        </w:tc>
        <w:tc>
          <w:tcPr>
            <w:tcW w:w="1843" w:type="dxa"/>
            <w:tcMar>
              <w:top w:w="40" w:type="dxa"/>
              <w:left w:w="80" w:type="dxa"/>
              <w:bottom w:w="40" w:type="dxa"/>
              <w:right w:w="80" w:type="dxa"/>
            </w:tcMar>
            <w:vAlign w:val="center"/>
          </w:tcPr>
          <w:p w14:paraId="06060DCA" w14:textId="77777777" w:rsidR="0029529F" w:rsidRPr="00AC7EA6" w:rsidRDefault="0029529F">
            <w:pPr>
              <w:spacing w:before="40" w:after="40"/>
              <w:rPr>
                <w:rFonts w:ascii="Times New Roman" w:hAnsi="Times New Roman" w:cs="Times New Roman"/>
              </w:rPr>
            </w:pPr>
          </w:p>
        </w:tc>
      </w:tr>
      <w:tr w:rsidR="0029529F" w:rsidRPr="00AC7EA6" w14:paraId="2F366AE7" w14:textId="77777777" w:rsidTr="0029529F">
        <w:tc>
          <w:tcPr>
            <w:tcW w:w="1150" w:type="dxa"/>
            <w:tcMar>
              <w:top w:w="40" w:type="dxa"/>
              <w:left w:w="80" w:type="dxa"/>
              <w:bottom w:w="40" w:type="dxa"/>
              <w:right w:w="80" w:type="dxa"/>
            </w:tcMar>
            <w:vAlign w:val="center"/>
          </w:tcPr>
          <w:p w14:paraId="4040B31A"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3.1.1.3</w:t>
            </w:r>
          </w:p>
        </w:tc>
        <w:tc>
          <w:tcPr>
            <w:tcW w:w="7492" w:type="dxa"/>
            <w:tcMar>
              <w:top w:w="40" w:type="dxa"/>
              <w:left w:w="80" w:type="dxa"/>
              <w:bottom w:w="40" w:type="dxa"/>
              <w:right w:w="80" w:type="dxa"/>
            </w:tcMar>
            <w:vAlign w:val="center"/>
          </w:tcPr>
          <w:p w14:paraId="0D23C9A9"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1.1.3 – Doublage isolant coupe-feu – local technique sous-station bât. 87</w:t>
            </w:r>
          </w:p>
          <w:p w14:paraId="30FC0A5F"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Idem article 1.1.1 avec plus-value pour fourniture et pose de plaques de plâtre coupe-feu.</w:t>
            </w:r>
          </w:p>
        </w:tc>
        <w:tc>
          <w:tcPr>
            <w:tcW w:w="1843" w:type="dxa"/>
            <w:tcMar>
              <w:top w:w="40" w:type="dxa"/>
              <w:left w:w="80" w:type="dxa"/>
              <w:bottom w:w="40" w:type="dxa"/>
              <w:right w:w="80" w:type="dxa"/>
            </w:tcMar>
            <w:vAlign w:val="center"/>
          </w:tcPr>
          <w:p w14:paraId="795E3C26" w14:textId="77777777" w:rsidR="0029529F" w:rsidRPr="00AC7EA6" w:rsidRDefault="0029529F">
            <w:pPr>
              <w:spacing w:before="40" w:after="40"/>
              <w:rPr>
                <w:rFonts w:ascii="Times New Roman" w:hAnsi="Times New Roman" w:cs="Times New Roman"/>
              </w:rPr>
            </w:pPr>
          </w:p>
        </w:tc>
      </w:tr>
      <w:tr w:rsidR="0029529F" w:rsidRPr="00AC7EA6" w14:paraId="50113720" w14:textId="77777777" w:rsidTr="0029529F">
        <w:tc>
          <w:tcPr>
            <w:tcW w:w="1150" w:type="dxa"/>
            <w:tcMar>
              <w:top w:w="40" w:type="dxa"/>
              <w:left w:w="80" w:type="dxa"/>
              <w:bottom w:w="40" w:type="dxa"/>
              <w:right w:w="80" w:type="dxa"/>
            </w:tcMar>
            <w:vAlign w:val="center"/>
          </w:tcPr>
          <w:p w14:paraId="7F515DEE"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3.1.2.1</w:t>
            </w:r>
          </w:p>
        </w:tc>
        <w:tc>
          <w:tcPr>
            <w:tcW w:w="7492" w:type="dxa"/>
            <w:tcMar>
              <w:top w:w="40" w:type="dxa"/>
              <w:left w:w="80" w:type="dxa"/>
              <w:bottom w:w="40" w:type="dxa"/>
              <w:right w:w="80" w:type="dxa"/>
            </w:tcMar>
            <w:vAlign w:val="center"/>
          </w:tcPr>
          <w:p w14:paraId="6F8D753C"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1.2.1 – Cloisons de distribution en locaux humides – ép. finie 100 mm</w:t>
            </w:r>
          </w:p>
          <w:p w14:paraId="20D76FB7"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Cloisons type Placostil ou techniquement équivalent : ossature métallique galvanisée rails et montants 70 mm, laine minérale semi-rigide 75 mm continue dans toute l’épaisseur, parement plaques hydrofuges type H1 sur chaque face ; bandes, enduits et traitements adaptés aux locaux humides, renforts pour équipements, réservations réseaux, découpes et raccordements, conformité NF DTU 25.41 et exigences du bureau de contrôle. Localisation : bât. 87 toute la partie extension (locaux humides RDC et R+1) ; bât. H les sept pièces humides objet de la rénovation.</w:t>
            </w:r>
          </w:p>
        </w:tc>
        <w:tc>
          <w:tcPr>
            <w:tcW w:w="1843" w:type="dxa"/>
            <w:tcMar>
              <w:top w:w="40" w:type="dxa"/>
              <w:left w:w="80" w:type="dxa"/>
              <w:bottom w:w="40" w:type="dxa"/>
              <w:right w:w="80" w:type="dxa"/>
            </w:tcMar>
            <w:vAlign w:val="center"/>
          </w:tcPr>
          <w:p w14:paraId="18B0C20D" w14:textId="77777777" w:rsidR="0029529F" w:rsidRPr="00AC7EA6" w:rsidRDefault="0029529F">
            <w:pPr>
              <w:spacing w:before="40" w:after="40"/>
              <w:rPr>
                <w:rFonts w:ascii="Times New Roman" w:hAnsi="Times New Roman" w:cs="Times New Roman"/>
              </w:rPr>
            </w:pPr>
          </w:p>
        </w:tc>
      </w:tr>
      <w:tr w:rsidR="0029529F" w:rsidRPr="00AC7EA6" w14:paraId="64F54C7D" w14:textId="77777777" w:rsidTr="0029529F">
        <w:tc>
          <w:tcPr>
            <w:tcW w:w="1150" w:type="dxa"/>
            <w:tcMar>
              <w:top w:w="40" w:type="dxa"/>
              <w:left w:w="80" w:type="dxa"/>
              <w:bottom w:w="40" w:type="dxa"/>
              <w:right w:w="80" w:type="dxa"/>
            </w:tcMar>
            <w:vAlign w:val="center"/>
          </w:tcPr>
          <w:p w14:paraId="3F7CAEA0"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3.1.2.2</w:t>
            </w:r>
          </w:p>
        </w:tc>
        <w:tc>
          <w:tcPr>
            <w:tcW w:w="7492" w:type="dxa"/>
            <w:tcMar>
              <w:top w:w="40" w:type="dxa"/>
              <w:left w:w="80" w:type="dxa"/>
              <w:bottom w:w="40" w:type="dxa"/>
              <w:right w:w="80" w:type="dxa"/>
            </w:tcMar>
            <w:vAlign w:val="center"/>
          </w:tcPr>
          <w:p w14:paraId="2D440E76"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1.2.2 – Cloisons de distribution coupe-feu EI 120</w:t>
            </w:r>
          </w:p>
          <w:p w14:paraId="26EB92A5" w14:textId="2EF590FB"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 xml:space="preserve">Système complet type Placostil ou équivalent sous PV de classement feu en cours de validité : ossature renforcée adaptée à la hauteur, laine de roche haute densité, plaques coupe-feu type DF en nombre et épaisseur nécessaires à l’EI 120, raccordements aux ouvrages adjacents, traitement coupe-feu des traversées de réseaux, calfeutrements, justificatifs fournis. Localisation bât. 87 : local de stockage de l’extension, future sous-station / local </w:t>
            </w:r>
            <w:r w:rsidR="00D16DAD">
              <w:rPr>
                <w:rFonts w:ascii="Times New Roman" w:hAnsi="Times New Roman" w:cs="Times New Roman"/>
                <w:sz w:val="16"/>
                <w:szCs w:val="16"/>
              </w:rPr>
              <w:t xml:space="preserve">CAN </w:t>
            </w:r>
            <w:r>
              <w:rPr>
                <w:rFonts w:ascii="Times New Roman" w:hAnsi="Times New Roman" w:cs="Times New Roman"/>
                <w:sz w:val="16"/>
                <w:szCs w:val="16"/>
              </w:rPr>
              <w:t>(actuelle chaufferie), cloisonnement de l’escalier principal intérieur jusqu’aux combles.</w:t>
            </w:r>
          </w:p>
        </w:tc>
        <w:tc>
          <w:tcPr>
            <w:tcW w:w="1843" w:type="dxa"/>
            <w:tcMar>
              <w:top w:w="40" w:type="dxa"/>
              <w:left w:w="80" w:type="dxa"/>
              <w:bottom w:w="40" w:type="dxa"/>
              <w:right w:w="80" w:type="dxa"/>
            </w:tcMar>
            <w:vAlign w:val="center"/>
          </w:tcPr>
          <w:p w14:paraId="70C23196" w14:textId="77777777" w:rsidR="0029529F" w:rsidRPr="00AC7EA6" w:rsidRDefault="0029529F">
            <w:pPr>
              <w:spacing w:before="40" w:after="40"/>
              <w:rPr>
                <w:rFonts w:ascii="Times New Roman" w:hAnsi="Times New Roman" w:cs="Times New Roman"/>
              </w:rPr>
            </w:pPr>
          </w:p>
        </w:tc>
      </w:tr>
      <w:tr w:rsidR="0029529F" w:rsidRPr="00AC7EA6" w14:paraId="7717F56B" w14:textId="77777777" w:rsidTr="0029529F">
        <w:tc>
          <w:tcPr>
            <w:tcW w:w="1150" w:type="dxa"/>
            <w:tcMar>
              <w:top w:w="40" w:type="dxa"/>
              <w:left w:w="80" w:type="dxa"/>
              <w:bottom w:w="40" w:type="dxa"/>
              <w:right w:w="80" w:type="dxa"/>
            </w:tcMar>
            <w:vAlign w:val="center"/>
          </w:tcPr>
          <w:p w14:paraId="31844123"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3.1.2.3</w:t>
            </w:r>
          </w:p>
        </w:tc>
        <w:tc>
          <w:tcPr>
            <w:tcW w:w="7492" w:type="dxa"/>
            <w:tcMar>
              <w:top w:w="40" w:type="dxa"/>
              <w:left w:w="80" w:type="dxa"/>
              <w:bottom w:w="40" w:type="dxa"/>
              <w:right w:w="80" w:type="dxa"/>
            </w:tcMar>
            <w:vAlign w:val="center"/>
          </w:tcPr>
          <w:p w14:paraId="39C39A81"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1.2.3 – Doublage coupe-feu EI 120 sur murs périphériques</w:t>
            </w:r>
          </w:p>
          <w:p w14:paraId="200B28F2"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Système complet type Placostil ou équivalent sous PV : ossature métallique galvanisée, laine de roche semi-rigide ou haute densité, plaques coupe-feu type DF en nombre et épaisseur nécessaires (EI 120 minimum ou exigence supérieure de la notice de sécurité / bureau de contrôle), traitement des angles, tableaux et points singuliers, traversées de réseaux, calfeutrements coupe-feu. Localisation : bât. H futur local sous-station (actuel magasin 011) ; bât. 87 future sous-station (actuelle chaufferie) et deux locaux de stockage (sous l’escalier et à côté de la salle de convivialité).</w:t>
            </w:r>
          </w:p>
        </w:tc>
        <w:tc>
          <w:tcPr>
            <w:tcW w:w="1843" w:type="dxa"/>
            <w:tcMar>
              <w:top w:w="40" w:type="dxa"/>
              <w:left w:w="80" w:type="dxa"/>
              <w:bottom w:w="40" w:type="dxa"/>
              <w:right w:w="80" w:type="dxa"/>
            </w:tcMar>
            <w:vAlign w:val="center"/>
          </w:tcPr>
          <w:p w14:paraId="02439E2E" w14:textId="77777777" w:rsidR="0029529F" w:rsidRPr="00AC7EA6" w:rsidRDefault="0029529F">
            <w:pPr>
              <w:spacing w:before="40" w:after="40"/>
              <w:rPr>
                <w:rFonts w:ascii="Times New Roman" w:hAnsi="Times New Roman" w:cs="Times New Roman"/>
              </w:rPr>
            </w:pPr>
          </w:p>
        </w:tc>
      </w:tr>
      <w:tr w:rsidR="0029529F" w:rsidRPr="00AC7EA6" w14:paraId="50549F58" w14:textId="77777777" w:rsidTr="0029529F">
        <w:tc>
          <w:tcPr>
            <w:tcW w:w="1150" w:type="dxa"/>
            <w:tcMar>
              <w:top w:w="40" w:type="dxa"/>
              <w:left w:w="80" w:type="dxa"/>
              <w:bottom w:w="40" w:type="dxa"/>
              <w:right w:w="80" w:type="dxa"/>
            </w:tcMar>
            <w:vAlign w:val="center"/>
          </w:tcPr>
          <w:p w14:paraId="6D2EF83E"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3.1.2.4</w:t>
            </w:r>
          </w:p>
        </w:tc>
        <w:tc>
          <w:tcPr>
            <w:tcW w:w="7492" w:type="dxa"/>
            <w:tcMar>
              <w:top w:w="40" w:type="dxa"/>
              <w:left w:w="80" w:type="dxa"/>
              <w:bottom w:w="40" w:type="dxa"/>
              <w:right w:w="80" w:type="dxa"/>
            </w:tcMar>
            <w:vAlign w:val="center"/>
          </w:tcPr>
          <w:p w14:paraId="3DF6425B"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1.2.4 – Cloisons de distribution standard BA13 – ép. finie 100 mm</w:t>
            </w:r>
          </w:p>
          <w:p w14:paraId="2B5C8330"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Ossature 70 mm, laine minérale 75 mm continue, parement BA13 chaque face, NF DTU 25.41. Localisation bât. 87 : fermeture des espaces entre bureaux 004-005, 005-009 et 001-006, fermeture des parties vitrées en plénum sur tout le RDC et le R+1 ; bât. H : fermeture des espaces des anciens pavés de verre entre sanitaires et chambres.</w:t>
            </w:r>
          </w:p>
        </w:tc>
        <w:tc>
          <w:tcPr>
            <w:tcW w:w="1843" w:type="dxa"/>
            <w:tcMar>
              <w:top w:w="40" w:type="dxa"/>
              <w:left w:w="80" w:type="dxa"/>
              <w:bottom w:w="40" w:type="dxa"/>
              <w:right w:w="80" w:type="dxa"/>
            </w:tcMar>
            <w:vAlign w:val="center"/>
          </w:tcPr>
          <w:p w14:paraId="7DEB8B86" w14:textId="77777777" w:rsidR="0029529F" w:rsidRPr="00AC7EA6" w:rsidRDefault="0029529F">
            <w:pPr>
              <w:spacing w:before="40" w:after="40"/>
              <w:rPr>
                <w:rFonts w:ascii="Times New Roman" w:hAnsi="Times New Roman" w:cs="Times New Roman"/>
              </w:rPr>
            </w:pPr>
          </w:p>
        </w:tc>
      </w:tr>
      <w:tr w:rsidR="0029529F" w:rsidRPr="00AC7EA6" w14:paraId="39C89D08" w14:textId="77777777" w:rsidTr="0029529F">
        <w:tc>
          <w:tcPr>
            <w:tcW w:w="1150" w:type="dxa"/>
            <w:tcMar>
              <w:top w:w="40" w:type="dxa"/>
              <w:left w:w="80" w:type="dxa"/>
              <w:bottom w:w="40" w:type="dxa"/>
              <w:right w:w="80" w:type="dxa"/>
            </w:tcMar>
            <w:vAlign w:val="center"/>
          </w:tcPr>
          <w:p w14:paraId="5971E2FC"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3.1.2.4</w:t>
            </w:r>
          </w:p>
        </w:tc>
        <w:tc>
          <w:tcPr>
            <w:tcW w:w="7492" w:type="dxa"/>
            <w:tcMar>
              <w:top w:w="40" w:type="dxa"/>
              <w:left w:w="80" w:type="dxa"/>
              <w:bottom w:w="40" w:type="dxa"/>
              <w:right w:w="80" w:type="dxa"/>
            </w:tcMar>
            <w:vAlign w:val="center"/>
          </w:tcPr>
          <w:p w14:paraId="011DCC98"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1.2.5 – Gaines techniques en plaques de plâtre</w:t>
            </w:r>
          </w:p>
          <w:p w14:paraId="6F3E9E09"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Gaines techniques réalisées en panneaux de plaques de plâtre idem cloison de distribution : plaques hydrofuges dans les pièces humides, plaques coupe-feu dans les locaux techniques et de stockage ; y compris ossatures, isolant, joints et raccordements, en coordination avec le lot n°3.</w:t>
            </w:r>
          </w:p>
        </w:tc>
        <w:tc>
          <w:tcPr>
            <w:tcW w:w="1843" w:type="dxa"/>
            <w:tcMar>
              <w:top w:w="40" w:type="dxa"/>
              <w:left w:w="80" w:type="dxa"/>
              <w:bottom w:w="40" w:type="dxa"/>
              <w:right w:w="80" w:type="dxa"/>
            </w:tcMar>
            <w:vAlign w:val="center"/>
          </w:tcPr>
          <w:p w14:paraId="02FCDD76" w14:textId="77777777" w:rsidR="0029529F" w:rsidRPr="00AC7EA6" w:rsidRDefault="0029529F">
            <w:pPr>
              <w:spacing w:before="40" w:after="40"/>
              <w:rPr>
                <w:rFonts w:ascii="Times New Roman" w:hAnsi="Times New Roman" w:cs="Times New Roman"/>
              </w:rPr>
            </w:pPr>
          </w:p>
        </w:tc>
      </w:tr>
      <w:tr w:rsidR="0029529F" w:rsidRPr="00AC7EA6" w14:paraId="1EC22C9F" w14:textId="77777777" w:rsidTr="0029529F">
        <w:tc>
          <w:tcPr>
            <w:tcW w:w="1150" w:type="dxa"/>
            <w:tcMar>
              <w:top w:w="40" w:type="dxa"/>
              <w:left w:w="80" w:type="dxa"/>
              <w:bottom w:w="40" w:type="dxa"/>
              <w:right w:w="80" w:type="dxa"/>
            </w:tcMar>
            <w:vAlign w:val="center"/>
          </w:tcPr>
          <w:p w14:paraId="603D1958"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3.1.2.5</w:t>
            </w:r>
          </w:p>
        </w:tc>
        <w:tc>
          <w:tcPr>
            <w:tcW w:w="7492" w:type="dxa"/>
            <w:tcMar>
              <w:top w:w="40" w:type="dxa"/>
              <w:left w:w="80" w:type="dxa"/>
              <w:bottom w:w="40" w:type="dxa"/>
              <w:right w:w="80" w:type="dxa"/>
            </w:tcMar>
            <w:vAlign w:val="center"/>
          </w:tcPr>
          <w:p w14:paraId="230222DB"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1.2.6 – Habillages et coffrages de canalisations</w:t>
            </w:r>
          </w:p>
          <w:p w14:paraId="23FFF5E4"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Coffrages verticaux et horizontaux sur ossature métallique (cornières, rails et montants M48 minimum) pour dissimuler chutes et collecteurs EU/EV, gaines de ventilation et colonnes non intégrables : parement BA13 (hydrofuge H1 en locaux humides, coupe-feu au droit des parois à exigence feu), bandes, enduits, cornières d’angle, trappes de visite ≥ 300 × 300 mm au droit de chaque organe (degré coupe-feu identique à la paroi si requis), reconstitution intégrale du degré coupe-feu des parois traversées (calfeutrements, manchons, mortiers sous PV), relevés sur site, coordination lot n°3. Bâtiments 87 et H, suivant plans et constat après passage des réseaux.</w:t>
            </w:r>
          </w:p>
        </w:tc>
        <w:tc>
          <w:tcPr>
            <w:tcW w:w="1843" w:type="dxa"/>
            <w:tcMar>
              <w:top w:w="40" w:type="dxa"/>
              <w:left w:w="80" w:type="dxa"/>
              <w:bottom w:w="40" w:type="dxa"/>
              <w:right w:w="80" w:type="dxa"/>
            </w:tcMar>
            <w:vAlign w:val="center"/>
          </w:tcPr>
          <w:p w14:paraId="77FF7897" w14:textId="77777777" w:rsidR="0029529F" w:rsidRPr="00AC7EA6" w:rsidRDefault="0029529F">
            <w:pPr>
              <w:spacing w:before="40" w:after="40"/>
              <w:rPr>
                <w:rFonts w:ascii="Times New Roman" w:hAnsi="Times New Roman" w:cs="Times New Roman"/>
              </w:rPr>
            </w:pPr>
          </w:p>
        </w:tc>
      </w:tr>
      <w:tr w:rsidR="0029529F" w:rsidRPr="00AC7EA6" w14:paraId="0CE373FB" w14:textId="77777777" w:rsidTr="0029529F">
        <w:tc>
          <w:tcPr>
            <w:tcW w:w="1150" w:type="dxa"/>
            <w:tcMar>
              <w:top w:w="40" w:type="dxa"/>
              <w:left w:w="80" w:type="dxa"/>
              <w:bottom w:w="40" w:type="dxa"/>
              <w:right w:w="80" w:type="dxa"/>
            </w:tcMar>
            <w:vAlign w:val="center"/>
          </w:tcPr>
          <w:p w14:paraId="1A369BAB"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3.1.2.6</w:t>
            </w:r>
          </w:p>
        </w:tc>
        <w:tc>
          <w:tcPr>
            <w:tcW w:w="7492" w:type="dxa"/>
            <w:tcMar>
              <w:top w:w="40" w:type="dxa"/>
              <w:left w:w="80" w:type="dxa"/>
              <w:bottom w:w="40" w:type="dxa"/>
              <w:right w:w="80" w:type="dxa"/>
            </w:tcMar>
            <w:vAlign w:val="center"/>
          </w:tcPr>
          <w:p w14:paraId="3BFEA2AC"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1.2.7 – Traitement des joints</w:t>
            </w:r>
          </w:p>
          <w:p w14:paraId="32B37920"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Sur tous les parements en plaques de plâtre (doublages, cloisons, gaines, coffrages, plafonds) conformément au NF DTU 25.41 : garnissage à l’enduit spécial, bandes, première couche d’enduit de finition y compris têtes de vis, bandes armées aux angles saillants, joints de fractionnement (tous les 15 m maxi et au droit des joints de structure), points singuliers, pontage armé ou mastic acrylique aux jonctions de matériaux différents ; état de surface permettant l’application des finitions de la sous-section peinture (la 2e passe d’enduit est due à la sous-section 5).</w:t>
            </w:r>
          </w:p>
        </w:tc>
        <w:tc>
          <w:tcPr>
            <w:tcW w:w="1843" w:type="dxa"/>
            <w:tcMar>
              <w:top w:w="40" w:type="dxa"/>
              <w:left w:w="80" w:type="dxa"/>
              <w:bottom w:w="40" w:type="dxa"/>
              <w:right w:w="80" w:type="dxa"/>
            </w:tcMar>
            <w:vAlign w:val="center"/>
          </w:tcPr>
          <w:p w14:paraId="249540CB" w14:textId="77777777" w:rsidR="0029529F" w:rsidRPr="00AC7EA6" w:rsidRDefault="0029529F">
            <w:pPr>
              <w:spacing w:before="40" w:after="40"/>
              <w:rPr>
                <w:rFonts w:ascii="Times New Roman" w:hAnsi="Times New Roman" w:cs="Times New Roman"/>
              </w:rPr>
            </w:pPr>
          </w:p>
        </w:tc>
      </w:tr>
      <w:tr w:rsidR="0029529F" w:rsidRPr="00AC7EA6" w14:paraId="3D768F99" w14:textId="77777777" w:rsidTr="0029529F">
        <w:tc>
          <w:tcPr>
            <w:tcW w:w="1150" w:type="dxa"/>
            <w:tcMar>
              <w:top w:w="40" w:type="dxa"/>
              <w:left w:w="80" w:type="dxa"/>
              <w:bottom w:w="40" w:type="dxa"/>
              <w:right w:w="80" w:type="dxa"/>
            </w:tcMar>
            <w:vAlign w:val="center"/>
          </w:tcPr>
          <w:p w14:paraId="0CE51B8F"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3.1.2.7</w:t>
            </w:r>
          </w:p>
        </w:tc>
        <w:tc>
          <w:tcPr>
            <w:tcW w:w="7492" w:type="dxa"/>
            <w:tcMar>
              <w:top w:w="40" w:type="dxa"/>
              <w:left w:w="80" w:type="dxa"/>
              <w:bottom w:w="40" w:type="dxa"/>
              <w:right w:w="80" w:type="dxa"/>
            </w:tcMar>
            <w:vAlign w:val="center"/>
          </w:tcPr>
          <w:p w14:paraId="4C5EF957"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1.2.8 – Angles de renfort</w:t>
            </w:r>
          </w:p>
          <w:p w14:paraId="729067E1"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Protection de tous les angles saillants exposés aux chocs par cornières PVC ou acier galvanisé perforé incorporées à l’enduit, hauteur minimale 2,50 m à compter du sol fini (circulations, dégagements, tableaux, ébrasements, trumeaux, poteaux), posées d’aplomb, noyées en deux passes ; rectitude 2 mm sous la règle de 2 m.</w:t>
            </w:r>
          </w:p>
        </w:tc>
        <w:tc>
          <w:tcPr>
            <w:tcW w:w="1843" w:type="dxa"/>
            <w:tcMar>
              <w:top w:w="40" w:type="dxa"/>
              <w:left w:w="80" w:type="dxa"/>
              <w:bottom w:w="40" w:type="dxa"/>
              <w:right w:w="80" w:type="dxa"/>
            </w:tcMar>
            <w:vAlign w:val="center"/>
          </w:tcPr>
          <w:p w14:paraId="4E2D5DDC" w14:textId="77777777" w:rsidR="0029529F" w:rsidRPr="00AC7EA6" w:rsidRDefault="0029529F">
            <w:pPr>
              <w:spacing w:before="40" w:after="40"/>
              <w:rPr>
                <w:rFonts w:ascii="Times New Roman" w:hAnsi="Times New Roman" w:cs="Times New Roman"/>
              </w:rPr>
            </w:pPr>
          </w:p>
        </w:tc>
      </w:tr>
      <w:tr w:rsidR="0029529F" w:rsidRPr="00AC7EA6" w14:paraId="32677E04" w14:textId="77777777" w:rsidTr="0029529F">
        <w:tc>
          <w:tcPr>
            <w:tcW w:w="1150" w:type="dxa"/>
            <w:tcMar>
              <w:top w:w="40" w:type="dxa"/>
              <w:left w:w="80" w:type="dxa"/>
              <w:bottom w:w="40" w:type="dxa"/>
              <w:right w:w="80" w:type="dxa"/>
            </w:tcMar>
            <w:vAlign w:val="center"/>
          </w:tcPr>
          <w:p w14:paraId="086FAFC9"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3.1.2.8</w:t>
            </w:r>
          </w:p>
        </w:tc>
        <w:tc>
          <w:tcPr>
            <w:tcW w:w="7492" w:type="dxa"/>
            <w:tcMar>
              <w:top w:w="40" w:type="dxa"/>
              <w:left w:w="80" w:type="dxa"/>
              <w:bottom w:w="40" w:type="dxa"/>
              <w:right w:w="80" w:type="dxa"/>
            </w:tcMar>
            <w:vAlign w:val="center"/>
          </w:tcPr>
          <w:p w14:paraId="3FB76545"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1.2.9 – Renforts pour fixation des appareils sanitaires et de chauffage</w:t>
            </w:r>
          </w:p>
          <w:p w14:paraId="79B4EB31"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Renforts dans l’épaisseur des cloisons, doublages et gaines (platines métalliques traversantes, traverses bois classe 2, plaques haute dureté) dimensionnés pour les charges normalisées (400 N en rive de lavabo, 1,7 kN sur barres d’appui PMR) : lavabos, plans vasques, urinoirs, barres PMR, sèche-mains, distributeurs, miroirs, radiateurs, sèche-serviettes, cumulus et préparateurs ECS ; habillage des bâtis-supports WC suspendus en double peau hydrofuge avec tablette et joints ; position et dimensionnement coordonnés avec le lot n°3 avant fermeture, plan de repérage au DOE. Bâtiments 87 et H, ensemble des locaux concernés.</w:t>
            </w:r>
          </w:p>
        </w:tc>
        <w:tc>
          <w:tcPr>
            <w:tcW w:w="1843" w:type="dxa"/>
            <w:tcMar>
              <w:top w:w="40" w:type="dxa"/>
              <w:left w:w="80" w:type="dxa"/>
              <w:bottom w:w="40" w:type="dxa"/>
              <w:right w:w="80" w:type="dxa"/>
            </w:tcMar>
            <w:vAlign w:val="center"/>
          </w:tcPr>
          <w:p w14:paraId="6DD57E9F" w14:textId="77777777" w:rsidR="0029529F" w:rsidRPr="00AC7EA6" w:rsidRDefault="0029529F">
            <w:pPr>
              <w:spacing w:before="40" w:after="40"/>
              <w:rPr>
                <w:rFonts w:ascii="Times New Roman" w:hAnsi="Times New Roman" w:cs="Times New Roman"/>
              </w:rPr>
            </w:pPr>
          </w:p>
        </w:tc>
      </w:tr>
      <w:tr w:rsidR="0029529F" w:rsidRPr="00AC7EA6" w14:paraId="185F5F64" w14:textId="77777777" w:rsidTr="0029529F">
        <w:tc>
          <w:tcPr>
            <w:tcW w:w="1150" w:type="dxa"/>
            <w:tcMar>
              <w:top w:w="40" w:type="dxa"/>
              <w:left w:w="80" w:type="dxa"/>
              <w:bottom w:w="40" w:type="dxa"/>
              <w:right w:w="80" w:type="dxa"/>
            </w:tcMar>
            <w:vAlign w:val="center"/>
          </w:tcPr>
          <w:p w14:paraId="4B6D2D93"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3.1.3.1</w:t>
            </w:r>
          </w:p>
        </w:tc>
        <w:tc>
          <w:tcPr>
            <w:tcW w:w="7492" w:type="dxa"/>
            <w:tcMar>
              <w:top w:w="40" w:type="dxa"/>
              <w:left w:w="80" w:type="dxa"/>
              <w:bottom w:w="40" w:type="dxa"/>
              <w:right w:w="80" w:type="dxa"/>
            </w:tcMar>
            <w:vAlign w:val="center"/>
          </w:tcPr>
          <w:p w14:paraId="367A3632"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1.3.1 – Plafonds coupe-feu en plaques de plâtre</w:t>
            </w:r>
          </w:p>
          <w:p w14:paraId="097DF52F"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Système complet sous PV de classement feu (plaques type Placoflam) : EI 120 pour les locaux sous-stations, EI 60 pour les locaux de stockage (sauf exigence contraire), ossature, suspentes, trappes de visite coupe-feu, traitement des pénétrations et traversées techniques. Localisation bât. 87 : local de stockage de la future extension, sous-station (actuelle chaufferie entière), local sous escalier ; bât. H : futur local sous-station (actuels magasins 011 et 012).</w:t>
            </w:r>
          </w:p>
        </w:tc>
        <w:tc>
          <w:tcPr>
            <w:tcW w:w="1843" w:type="dxa"/>
            <w:tcMar>
              <w:top w:w="40" w:type="dxa"/>
              <w:left w:w="80" w:type="dxa"/>
              <w:bottom w:w="40" w:type="dxa"/>
              <w:right w:w="80" w:type="dxa"/>
            </w:tcMar>
            <w:vAlign w:val="center"/>
          </w:tcPr>
          <w:p w14:paraId="1B11E3DD" w14:textId="77777777" w:rsidR="0029529F" w:rsidRPr="00AC7EA6" w:rsidRDefault="0029529F">
            <w:pPr>
              <w:spacing w:before="40" w:after="40"/>
              <w:rPr>
                <w:rFonts w:ascii="Times New Roman" w:hAnsi="Times New Roman" w:cs="Times New Roman"/>
              </w:rPr>
            </w:pPr>
          </w:p>
        </w:tc>
      </w:tr>
      <w:tr w:rsidR="0029529F" w:rsidRPr="00AC7EA6" w14:paraId="5DC10E39" w14:textId="77777777" w:rsidTr="0029529F">
        <w:tc>
          <w:tcPr>
            <w:tcW w:w="1150" w:type="dxa"/>
            <w:tcMar>
              <w:top w:w="40" w:type="dxa"/>
              <w:left w:w="80" w:type="dxa"/>
              <w:bottom w:w="40" w:type="dxa"/>
              <w:right w:w="80" w:type="dxa"/>
            </w:tcMar>
            <w:vAlign w:val="center"/>
          </w:tcPr>
          <w:p w14:paraId="1DDB4B75"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3.1.3.2</w:t>
            </w:r>
          </w:p>
        </w:tc>
        <w:tc>
          <w:tcPr>
            <w:tcW w:w="7492" w:type="dxa"/>
            <w:tcMar>
              <w:top w:w="40" w:type="dxa"/>
              <w:left w:w="80" w:type="dxa"/>
              <w:bottom w:w="40" w:type="dxa"/>
              <w:right w:w="80" w:type="dxa"/>
            </w:tcMar>
            <w:vAlign w:val="center"/>
          </w:tcPr>
          <w:p w14:paraId="00EA8FF7"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1.3.2 – Faux plafonds démontables dalles minérales 600 × 600 mm</w:t>
            </w:r>
          </w:p>
          <w:p w14:paraId="41A19CA5"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Ossature métallique apparente (profils porteurs et entretoises), suspentes, cornières périphériques, dalles 600 × 600 blanches à bords adaptés, trappes de visite, découpes et raccordements ; isolation en laine minérale déroulée ép. 240 mm continue au-dessus du faux plafond ; accès aux équipements du plénum garanti ; conformité NF DTU 58.1. Localisation bât. 87 : tous les bureaux et couloirs RDC et R+1 ; bât. H : couloirs RDC et entrées, magasin n° 012.</w:t>
            </w:r>
          </w:p>
        </w:tc>
        <w:tc>
          <w:tcPr>
            <w:tcW w:w="1843" w:type="dxa"/>
            <w:tcMar>
              <w:top w:w="40" w:type="dxa"/>
              <w:left w:w="80" w:type="dxa"/>
              <w:bottom w:w="40" w:type="dxa"/>
              <w:right w:w="80" w:type="dxa"/>
            </w:tcMar>
            <w:vAlign w:val="center"/>
          </w:tcPr>
          <w:p w14:paraId="472E7EBE" w14:textId="77777777" w:rsidR="0029529F" w:rsidRPr="00AC7EA6" w:rsidRDefault="0029529F">
            <w:pPr>
              <w:spacing w:before="40" w:after="40"/>
              <w:rPr>
                <w:rFonts w:ascii="Times New Roman" w:hAnsi="Times New Roman" w:cs="Times New Roman"/>
              </w:rPr>
            </w:pPr>
          </w:p>
        </w:tc>
      </w:tr>
      <w:tr w:rsidR="0029529F" w:rsidRPr="00AC7EA6" w14:paraId="79306FE4" w14:textId="77777777" w:rsidTr="0029529F">
        <w:tc>
          <w:tcPr>
            <w:tcW w:w="1150" w:type="dxa"/>
            <w:tcMar>
              <w:top w:w="40" w:type="dxa"/>
              <w:left w:w="80" w:type="dxa"/>
              <w:bottom w:w="40" w:type="dxa"/>
              <w:right w:w="80" w:type="dxa"/>
            </w:tcMar>
            <w:vAlign w:val="center"/>
          </w:tcPr>
          <w:p w14:paraId="524B7A52"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3.1.3.3</w:t>
            </w:r>
          </w:p>
        </w:tc>
        <w:tc>
          <w:tcPr>
            <w:tcW w:w="7492" w:type="dxa"/>
            <w:tcMar>
              <w:top w:w="40" w:type="dxa"/>
              <w:left w:w="80" w:type="dxa"/>
              <w:bottom w:w="40" w:type="dxa"/>
              <w:right w:w="80" w:type="dxa"/>
            </w:tcMar>
            <w:vAlign w:val="center"/>
          </w:tcPr>
          <w:p w14:paraId="34A07EEC"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1.3.3 – Faux plafonds type hygiène dalles 600 × 600 mm</w:t>
            </w:r>
          </w:p>
          <w:p w14:paraId="0C31E321"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Ossature profils A24 ou similaires chevillée dans la dalle béton, laquée blanche anticorrosion pour locaux à forte hygrométrie, panneaux forte densité ép. 20 mm minimum, bords scellés, face apparente peinte blanche, αw = 1,00, conformité NF P 68-203-1 et 2 (DTU 58.1) ; isolation laine minérale déroulée ép. 240 mm au-dessus. Localisation bât. 87 : toutes les pièces de la partie extension RDC et R+1 ; bât. H : les sept pièces objet de la rénovation.</w:t>
            </w:r>
          </w:p>
        </w:tc>
        <w:tc>
          <w:tcPr>
            <w:tcW w:w="1843" w:type="dxa"/>
            <w:tcMar>
              <w:top w:w="40" w:type="dxa"/>
              <w:left w:w="80" w:type="dxa"/>
              <w:bottom w:w="40" w:type="dxa"/>
              <w:right w:w="80" w:type="dxa"/>
            </w:tcMar>
            <w:vAlign w:val="center"/>
          </w:tcPr>
          <w:p w14:paraId="51DF28E3" w14:textId="77777777" w:rsidR="0029529F" w:rsidRPr="00AC7EA6" w:rsidRDefault="0029529F">
            <w:pPr>
              <w:spacing w:before="40" w:after="40"/>
              <w:rPr>
                <w:rFonts w:ascii="Times New Roman" w:hAnsi="Times New Roman" w:cs="Times New Roman"/>
              </w:rPr>
            </w:pPr>
          </w:p>
        </w:tc>
      </w:tr>
      <w:tr w:rsidR="0029529F" w:rsidRPr="00AC7EA6" w14:paraId="238751E9" w14:textId="77777777" w:rsidTr="0029529F">
        <w:tc>
          <w:tcPr>
            <w:tcW w:w="1150" w:type="dxa"/>
            <w:tcMar>
              <w:top w:w="40" w:type="dxa"/>
              <w:left w:w="80" w:type="dxa"/>
              <w:bottom w:w="40" w:type="dxa"/>
              <w:right w:w="80" w:type="dxa"/>
            </w:tcMar>
            <w:vAlign w:val="center"/>
          </w:tcPr>
          <w:p w14:paraId="248404D2"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3.1.4.2</w:t>
            </w:r>
          </w:p>
        </w:tc>
        <w:tc>
          <w:tcPr>
            <w:tcW w:w="7492" w:type="dxa"/>
            <w:tcMar>
              <w:top w:w="40" w:type="dxa"/>
              <w:left w:w="80" w:type="dxa"/>
              <w:bottom w:w="40" w:type="dxa"/>
              <w:right w:w="80" w:type="dxa"/>
            </w:tcMar>
            <w:vAlign w:val="center"/>
          </w:tcPr>
          <w:p w14:paraId="77B9B963"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1.4.1 – Blocs-portes âme pleine – locaux courants (Rw ≥ 28 dB)</w:t>
            </w:r>
          </w:p>
          <w:p w14:paraId="2B0A07A6"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Blocs-portes 1 vantail 930 ou 830 × 2040 mm : bâti bois avec couvre-joints plats deux faces, vantail âme pleine 40 mm (masse ≥ 25 kg/m²) peint en usine ou stratifié 2 faces au choix du maître d’œuvre, alaises bois dur, joint isophonique 3 côtés, plinthe automatique pour les locaux à exigence acoustique, détalonnage 10 mm, plinthes de renfort inox 8/10e h = 30 cm sur les 2 faces, 3 paumelles réglables mini (4 au-delà de 45 kg), béquilles doubles inox sur rosaces, serrure à mortaiser NF à cylindre européen sur organigramme, butoirs ; Rw ≥ 28 dB pour bureaux, salle de réunion et salle d’instruction (PV fournis). Localisation : bât. 87 RDC tous les bureaux et salle de convivialité ; étage tous les bureaux, salle de réunion, salle d’instruction ; bât. H partie centrale : salle du personnel (002) et locaux courants rénovés.</w:t>
            </w:r>
          </w:p>
        </w:tc>
        <w:tc>
          <w:tcPr>
            <w:tcW w:w="1843" w:type="dxa"/>
            <w:tcMar>
              <w:top w:w="40" w:type="dxa"/>
              <w:left w:w="80" w:type="dxa"/>
              <w:bottom w:w="40" w:type="dxa"/>
              <w:right w:w="80" w:type="dxa"/>
            </w:tcMar>
            <w:vAlign w:val="center"/>
          </w:tcPr>
          <w:p w14:paraId="781D9FC5" w14:textId="77777777" w:rsidR="0029529F" w:rsidRPr="00AC7EA6" w:rsidRDefault="0029529F">
            <w:pPr>
              <w:spacing w:before="40" w:after="40"/>
              <w:rPr>
                <w:rFonts w:ascii="Times New Roman" w:hAnsi="Times New Roman" w:cs="Times New Roman"/>
              </w:rPr>
            </w:pPr>
          </w:p>
        </w:tc>
      </w:tr>
      <w:tr w:rsidR="0029529F" w:rsidRPr="00AC7EA6" w14:paraId="49D1C8FA" w14:textId="77777777" w:rsidTr="0029529F">
        <w:tc>
          <w:tcPr>
            <w:tcW w:w="1150" w:type="dxa"/>
            <w:tcMar>
              <w:top w:w="40" w:type="dxa"/>
              <w:left w:w="80" w:type="dxa"/>
              <w:bottom w:w="40" w:type="dxa"/>
              <w:right w:w="80" w:type="dxa"/>
            </w:tcMar>
            <w:vAlign w:val="center"/>
          </w:tcPr>
          <w:p w14:paraId="195E2F8A"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3.1.4.3</w:t>
            </w:r>
          </w:p>
        </w:tc>
        <w:tc>
          <w:tcPr>
            <w:tcW w:w="7492" w:type="dxa"/>
            <w:tcMar>
              <w:top w:w="40" w:type="dxa"/>
              <w:left w:w="80" w:type="dxa"/>
              <w:bottom w:w="40" w:type="dxa"/>
              <w:right w:w="80" w:type="dxa"/>
            </w:tcMar>
            <w:vAlign w:val="center"/>
          </w:tcPr>
          <w:p w14:paraId="4D527715"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1.4.2 – Blocs-portes des locaux humides</w:t>
            </w:r>
          </w:p>
          <w:p w14:paraId="6FAF3213"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Idem article 1.4.1 avec adaptations : vantail âme pleine hydrofuge (CTBH ou équivalent), parement stratifié compact ou prépeint hydrofuge, chants polyuréthane ou alaises vernies, serrure à condamnation avec décondamnation extérieure d’urgence et voyant libre/occupé (cabinets, douches, vestiaires) ; pour le cabinet PMR : béquille rallongée, barre de rappel horizontale intérieure, condamnation manœuvrable PMR déverrouillable de l’extérieur ; détalonnage 10 mm ou grilles de transfert suivant plan d’amenée d’air du lot n°3 (grilles coupe-feu au lot n°3, réservations au présent lot) ; plaques de propreté inox brossé 2 faces h = 300 mm. Localisation : bât. 87 extension RDC (douche, WC, local ménage) ; étage (douches, sanitaires F, sanitaires H, vestiaires H et F) ; bât. H partie centrale : les sept pièces humides (blocs sanitaires, douches hommes et femmes).</w:t>
            </w:r>
          </w:p>
        </w:tc>
        <w:tc>
          <w:tcPr>
            <w:tcW w:w="1843" w:type="dxa"/>
            <w:tcMar>
              <w:top w:w="40" w:type="dxa"/>
              <w:left w:w="80" w:type="dxa"/>
              <w:bottom w:w="40" w:type="dxa"/>
              <w:right w:w="80" w:type="dxa"/>
            </w:tcMar>
            <w:vAlign w:val="center"/>
          </w:tcPr>
          <w:p w14:paraId="1D4DB97E" w14:textId="77777777" w:rsidR="0029529F" w:rsidRPr="00AC7EA6" w:rsidRDefault="0029529F">
            <w:pPr>
              <w:spacing w:before="40" w:after="40"/>
              <w:rPr>
                <w:rFonts w:ascii="Times New Roman" w:hAnsi="Times New Roman" w:cs="Times New Roman"/>
              </w:rPr>
            </w:pPr>
          </w:p>
        </w:tc>
      </w:tr>
      <w:tr w:rsidR="0029529F" w:rsidRPr="00AC7EA6" w14:paraId="3E3C420E" w14:textId="77777777" w:rsidTr="0029529F">
        <w:tc>
          <w:tcPr>
            <w:tcW w:w="1150" w:type="dxa"/>
            <w:tcMar>
              <w:top w:w="40" w:type="dxa"/>
              <w:left w:w="80" w:type="dxa"/>
              <w:bottom w:w="40" w:type="dxa"/>
              <w:right w:w="80" w:type="dxa"/>
            </w:tcMar>
            <w:vAlign w:val="center"/>
          </w:tcPr>
          <w:p w14:paraId="1017ED20"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3.1.4.4</w:t>
            </w:r>
          </w:p>
        </w:tc>
        <w:tc>
          <w:tcPr>
            <w:tcW w:w="7492" w:type="dxa"/>
            <w:tcMar>
              <w:top w:w="40" w:type="dxa"/>
              <w:left w:w="80" w:type="dxa"/>
              <w:bottom w:w="40" w:type="dxa"/>
              <w:right w:w="80" w:type="dxa"/>
            </w:tcMar>
            <w:vAlign w:val="center"/>
          </w:tcPr>
          <w:p w14:paraId="00F090FD"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1.4.3 – Blocs-portes coupe-feu à 1 vantail (EI 30 / EI 60)</w:t>
            </w:r>
          </w:p>
          <w:p w14:paraId="27F6DB68"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Ensembles vantail + huisserie homologués indissociables, EI 60 minimum pour les locaux à risques moyens (sous-stations, stockages), EI 30 pour les autres locaux visés, degré ≥ moitié de celui de la paroi ; ferme-porte hydraulique NF EN 1154 réglé ≤ 50 N, serrure à cylindre européen sur organigramme, béquille double anti-enfoncement à âme acier, joints intumescents périphériques, plaque « Porte coupe-feu – ne pas obstruer », PV de classement et notice de pose fournis avant approvisionnement, pose strictement conforme au PV. Localisation : bât. 87 local DIRISI, local de stockage de l’extension, locaux de stockage sous l’escalier, accès aux combles de la cage d’escalier principale suivant notice de sécurité ; bât. H portes des locaux sous-station (magasins 011 et 012) donnant sur la partie centrale.</w:t>
            </w:r>
          </w:p>
        </w:tc>
        <w:tc>
          <w:tcPr>
            <w:tcW w:w="1843" w:type="dxa"/>
            <w:tcMar>
              <w:top w:w="40" w:type="dxa"/>
              <w:left w:w="80" w:type="dxa"/>
              <w:bottom w:w="40" w:type="dxa"/>
              <w:right w:w="80" w:type="dxa"/>
            </w:tcMar>
            <w:vAlign w:val="center"/>
          </w:tcPr>
          <w:p w14:paraId="2DD0CC59" w14:textId="77777777" w:rsidR="0029529F" w:rsidRPr="00AC7EA6" w:rsidRDefault="0029529F">
            <w:pPr>
              <w:spacing w:before="40" w:after="40"/>
              <w:rPr>
                <w:rFonts w:ascii="Times New Roman" w:hAnsi="Times New Roman" w:cs="Times New Roman"/>
              </w:rPr>
            </w:pPr>
          </w:p>
        </w:tc>
      </w:tr>
      <w:tr w:rsidR="0029529F" w:rsidRPr="00AC7EA6" w14:paraId="7884E3C3" w14:textId="77777777" w:rsidTr="0029529F">
        <w:tc>
          <w:tcPr>
            <w:tcW w:w="1150" w:type="dxa"/>
            <w:tcMar>
              <w:top w:w="40" w:type="dxa"/>
              <w:left w:w="80" w:type="dxa"/>
              <w:bottom w:w="40" w:type="dxa"/>
              <w:right w:w="80" w:type="dxa"/>
            </w:tcMar>
            <w:vAlign w:val="center"/>
          </w:tcPr>
          <w:p w14:paraId="28BEF71E"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3.1.4.4</w:t>
            </w:r>
          </w:p>
        </w:tc>
        <w:tc>
          <w:tcPr>
            <w:tcW w:w="7492" w:type="dxa"/>
            <w:tcMar>
              <w:top w:w="40" w:type="dxa"/>
              <w:left w:w="80" w:type="dxa"/>
              <w:bottom w:w="40" w:type="dxa"/>
              <w:right w:w="80" w:type="dxa"/>
            </w:tcMar>
            <w:vAlign w:val="center"/>
          </w:tcPr>
          <w:p w14:paraId="411B002E"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1.4.4 – Blocs-portes coupe-feu à 2 vantaux (EI 30 / EI 60)</w:t>
            </w:r>
          </w:p>
          <w:p w14:paraId="43E2CD16"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Idem article 1.4.3 avec sélecteur de fermeture. Localisation bât. 87 : future sous-station (actuelle chaufferie, portes deux vantaux), deux portes à deux vantaux dans le couloir du RDC et une à l’étage.</w:t>
            </w:r>
          </w:p>
        </w:tc>
        <w:tc>
          <w:tcPr>
            <w:tcW w:w="1843" w:type="dxa"/>
            <w:tcMar>
              <w:top w:w="40" w:type="dxa"/>
              <w:left w:w="80" w:type="dxa"/>
              <w:bottom w:w="40" w:type="dxa"/>
              <w:right w:w="80" w:type="dxa"/>
            </w:tcMar>
            <w:vAlign w:val="center"/>
          </w:tcPr>
          <w:p w14:paraId="07198160" w14:textId="77777777" w:rsidR="0029529F" w:rsidRPr="00AC7EA6" w:rsidRDefault="0029529F">
            <w:pPr>
              <w:spacing w:before="40" w:after="40"/>
              <w:rPr>
                <w:rFonts w:ascii="Times New Roman" w:hAnsi="Times New Roman" w:cs="Times New Roman"/>
              </w:rPr>
            </w:pPr>
          </w:p>
        </w:tc>
      </w:tr>
      <w:tr w:rsidR="0029529F" w:rsidRPr="00AC7EA6" w14:paraId="28AF7AA6" w14:textId="77777777" w:rsidTr="0029529F">
        <w:tc>
          <w:tcPr>
            <w:tcW w:w="1150" w:type="dxa"/>
            <w:tcMar>
              <w:top w:w="40" w:type="dxa"/>
              <w:left w:w="80" w:type="dxa"/>
              <w:bottom w:w="40" w:type="dxa"/>
              <w:right w:w="80" w:type="dxa"/>
            </w:tcMar>
            <w:vAlign w:val="center"/>
          </w:tcPr>
          <w:p w14:paraId="1D22B045"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3.1.4.5</w:t>
            </w:r>
          </w:p>
        </w:tc>
        <w:tc>
          <w:tcPr>
            <w:tcW w:w="7492" w:type="dxa"/>
            <w:tcMar>
              <w:top w:w="40" w:type="dxa"/>
              <w:left w:w="80" w:type="dxa"/>
              <w:bottom w:w="40" w:type="dxa"/>
              <w:right w:w="80" w:type="dxa"/>
            </w:tcMar>
            <w:vAlign w:val="center"/>
          </w:tcPr>
          <w:p w14:paraId="56D1076E"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1.4.5 – Façades de gaines techniques et trappes de visite</w:t>
            </w:r>
          </w:p>
          <w:p w14:paraId="2C16E1ED"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Portillons ou façades toute hauteur en panneaux dérivés du bois mélaminés ≥ 19 mm sur cadre ou plaques de plâtre sur cadre métallique, serrure batteuse carré de 6 ou à clé sur organigramme selon destination, charnières invisibles ou paumelles déportées (ouverture 180°) ; trappes coupe-feu homologuées de degré identique à la paroi (sous PV) au droit des parois/plafonds à exigence feu, trappes hydrofuges à cadre aluminium en pièces humides ; renforts d’ossature, maintien de l’étanchéité à l’air, finitions périphériques. Bâtiments 87 et H, ensemble des gaines techniques, coordination lot n°3.</w:t>
            </w:r>
          </w:p>
        </w:tc>
        <w:tc>
          <w:tcPr>
            <w:tcW w:w="1843" w:type="dxa"/>
            <w:tcMar>
              <w:top w:w="40" w:type="dxa"/>
              <w:left w:w="80" w:type="dxa"/>
              <w:bottom w:w="40" w:type="dxa"/>
              <w:right w:w="80" w:type="dxa"/>
            </w:tcMar>
            <w:vAlign w:val="center"/>
          </w:tcPr>
          <w:p w14:paraId="07D59B32" w14:textId="77777777" w:rsidR="0029529F" w:rsidRPr="00AC7EA6" w:rsidRDefault="0029529F">
            <w:pPr>
              <w:spacing w:before="40" w:after="40"/>
              <w:rPr>
                <w:rFonts w:ascii="Times New Roman" w:hAnsi="Times New Roman" w:cs="Times New Roman"/>
              </w:rPr>
            </w:pPr>
          </w:p>
        </w:tc>
      </w:tr>
      <w:tr w:rsidR="0029529F" w:rsidRPr="00AC7EA6" w14:paraId="4F801C1B" w14:textId="77777777" w:rsidTr="0029529F">
        <w:tc>
          <w:tcPr>
            <w:tcW w:w="1150" w:type="dxa"/>
            <w:tcMar>
              <w:top w:w="40" w:type="dxa"/>
              <w:left w:w="80" w:type="dxa"/>
              <w:bottom w:w="40" w:type="dxa"/>
              <w:right w:w="80" w:type="dxa"/>
            </w:tcMar>
            <w:vAlign w:val="center"/>
          </w:tcPr>
          <w:p w14:paraId="6F00EF98"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3.1.4.6</w:t>
            </w:r>
          </w:p>
        </w:tc>
        <w:tc>
          <w:tcPr>
            <w:tcW w:w="7492" w:type="dxa"/>
            <w:tcMar>
              <w:top w:w="40" w:type="dxa"/>
              <w:left w:w="80" w:type="dxa"/>
              <w:bottom w:w="40" w:type="dxa"/>
              <w:right w:w="80" w:type="dxa"/>
            </w:tcMar>
            <w:vAlign w:val="center"/>
          </w:tcPr>
          <w:p w14:paraId="11F48A64"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1.4.6 – Signalétique intérieure</w:t>
            </w:r>
          </w:p>
          <w:p w14:paraId="6D6DCEA8"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Plaques de porte pour l’ensemble des locaux, format ≥ 150 × 150 mm, aluminium anodisé ou polymère rigide, fixation adhésif structural ou vissage inviolable, typographie et pictogrammes contrastés conformes accessibilité (pose entre 1,20 et 1,60 m, relief et braille pour les sanitaires) ; pictogrammes réglementaires des locaux à risques et organes de coupure (cohérence avec le lot n°3) ; numérotation suivant nomenclature du maître d’œuvre, plan de repérage au DOE ; prototype de chaque famille soumis au visa avant série. Bâtiments 87 et H, ensemble des locaux rénovés.</w:t>
            </w:r>
          </w:p>
        </w:tc>
        <w:tc>
          <w:tcPr>
            <w:tcW w:w="1843" w:type="dxa"/>
            <w:tcMar>
              <w:top w:w="40" w:type="dxa"/>
              <w:left w:w="80" w:type="dxa"/>
              <w:bottom w:w="40" w:type="dxa"/>
              <w:right w:w="80" w:type="dxa"/>
            </w:tcMar>
            <w:vAlign w:val="center"/>
          </w:tcPr>
          <w:p w14:paraId="4C17FE35" w14:textId="77777777" w:rsidR="0029529F" w:rsidRPr="00AC7EA6" w:rsidRDefault="0029529F">
            <w:pPr>
              <w:spacing w:before="40" w:after="40"/>
              <w:rPr>
                <w:rFonts w:ascii="Times New Roman" w:hAnsi="Times New Roman" w:cs="Times New Roman"/>
              </w:rPr>
            </w:pPr>
          </w:p>
        </w:tc>
      </w:tr>
      <w:tr w:rsidR="0029529F" w:rsidRPr="00AC7EA6" w14:paraId="48D27041" w14:textId="77777777" w:rsidTr="0029529F">
        <w:tc>
          <w:tcPr>
            <w:tcW w:w="1150" w:type="dxa"/>
            <w:tcMar>
              <w:top w:w="40" w:type="dxa"/>
              <w:left w:w="80" w:type="dxa"/>
              <w:bottom w:w="40" w:type="dxa"/>
              <w:right w:w="80" w:type="dxa"/>
            </w:tcMar>
            <w:vAlign w:val="center"/>
          </w:tcPr>
          <w:p w14:paraId="0CA25EE1"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3.1.5.1</w:t>
            </w:r>
          </w:p>
        </w:tc>
        <w:tc>
          <w:tcPr>
            <w:tcW w:w="7492" w:type="dxa"/>
            <w:tcMar>
              <w:top w:w="40" w:type="dxa"/>
              <w:left w:w="80" w:type="dxa"/>
              <w:bottom w:w="40" w:type="dxa"/>
              <w:right w:w="80" w:type="dxa"/>
            </w:tcMar>
            <w:vAlign w:val="center"/>
          </w:tcPr>
          <w:p w14:paraId="4C1EA1FF"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1.5.1 – Préparation des supports</w:t>
            </w:r>
          </w:p>
          <w:p w14:paraId="4E399FAF"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Sur l’ensemble des supports à peindre selon leur nature : reconnaissance contradictoire des subjectiles, époussetage, égrenage, brossage, rebouchages et ratissages localisés, deuxième passe d’enduit de finition sur les joints des plaques de plâtre (après la 1re passe due à la plâtrerie) avec ponçage et époussetage, enduit repassé ou garnissant sur supports anciens dégradés (grattage, lessivage, rinçage), traitement fongicide des zones contaminées, couche d’impression adaptée à chaque support (plaques, fonds anciens, primaire antirouille métaux, impression bois), protection soignée des ouvrages finis et dépose des protections avec nettoyage. Contrôle en lumière rasante ; reprises sans plus-value.</w:t>
            </w:r>
          </w:p>
        </w:tc>
        <w:tc>
          <w:tcPr>
            <w:tcW w:w="1843" w:type="dxa"/>
            <w:tcMar>
              <w:top w:w="40" w:type="dxa"/>
              <w:left w:w="80" w:type="dxa"/>
              <w:bottom w:w="40" w:type="dxa"/>
              <w:right w:w="80" w:type="dxa"/>
            </w:tcMar>
            <w:vAlign w:val="center"/>
          </w:tcPr>
          <w:p w14:paraId="5B543718" w14:textId="77777777" w:rsidR="0029529F" w:rsidRPr="00AC7EA6" w:rsidRDefault="0029529F">
            <w:pPr>
              <w:spacing w:before="40" w:after="40"/>
              <w:rPr>
                <w:rFonts w:ascii="Times New Roman" w:hAnsi="Times New Roman" w:cs="Times New Roman"/>
              </w:rPr>
            </w:pPr>
          </w:p>
        </w:tc>
      </w:tr>
      <w:tr w:rsidR="0029529F" w:rsidRPr="00AC7EA6" w14:paraId="6F99F0C5" w14:textId="77777777" w:rsidTr="0029529F">
        <w:tc>
          <w:tcPr>
            <w:tcW w:w="1150" w:type="dxa"/>
            <w:tcMar>
              <w:top w:w="40" w:type="dxa"/>
              <w:left w:w="80" w:type="dxa"/>
              <w:bottom w:w="40" w:type="dxa"/>
              <w:right w:w="80" w:type="dxa"/>
            </w:tcMar>
            <w:vAlign w:val="center"/>
          </w:tcPr>
          <w:p w14:paraId="4C2953F7"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3.1.5.2</w:t>
            </w:r>
          </w:p>
        </w:tc>
        <w:tc>
          <w:tcPr>
            <w:tcW w:w="7492" w:type="dxa"/>
            <w:tcMar>
              <w:top w:w="40" w:type="dxa"/>
              <w:left w:w="80" w:type="dxa"/>
              <w:bottom w:w="40" w:type="dxa"/>
              <w:right w:w="80" w:type="dxa"/>
            </w:tcMar>
            <w:vAlign w:val="center"/>
          </w:tcPr>
          <w:p w14:paraId="68870937"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1.5.2 – Revêtement mural en toile de verre peinte</w:t>
            </w:r>
          </w:p>
          <w:p w14:paraId="1F795EB2"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Toile de verre maille fine ≥ 130 g/m² (motif au choix du maître d’œuvre) marouflée sans bulles ni plis, joints affleurés bord à bord, arasements propres ; deux couches de peinture acrylique satinée lessivable classe 1 de résistance à l’abrasion humide (NF EN 13300), teintes légèrement différenciées entre couches ; système satiné spécial milieux humides fongicide du même fabricant dans les locaux humides (au-dessus des faïences), sur coffrages, gaines et plafonds concernés ; coupes et ajustements au droit des baies, angles, appareillages, plinthes et faïences, joints acryliques de finition. Localisation : bât. 87 ensemble des parois verticales RDC et étage, corps principal et extension (bureaux, salles, circulations, dégagements, sanitaires au-dessus des faïences, vestiaires) ; bât. H parois de la partie centrale rénovée (entrées, couloirs, salle du personnel, pièces humides au-dessus des faïences, pièce 012).</w:t>
            </w:r>
          </w:p>
        </w:tc>
        <w:tc>
          <w:tcPr>
            <w:tcW w:w="1843" w:type="dxa"/>
            <w:tcMar>
              <w:top w:w="40" w:type="dxa"/>
              <w:left w:w="80" w:type="dxa"/>
              <w:bottom w:w="40" w:type="dxa"/>
              <w:right w:w="80" w:type="dxa"/>
            </w:tcMar>
            <w:vAlign w:val="center"/>
          </w:tcPr>
          <w:p w14:paraId="4533CF06" w14:textId="77777777" w:rsidR="0029529F" w:rsidRPr="00AC7EA6" w:rsidRDefault="0029529F">
            <w:pPr>
              <w:spacing w:before="40" w:after="40"/>
              <w:rPr>
                <w:rFonts w:ascii="Times New Roman" w:hAnsi="Times New Roman" w:cs="Times New Roman"/>
              </w:rPr>
            </w:pPr>
          </w:p>
        </w:tc>
      </w:tr>
      <w:tr w:rsidR="0029529F" w:rsidRPr="00AC7EA6" w14:paraId="7BCC5F0A" w14:textId="77777777" w:rsidTr="0029529F">
        <w:tc>
          <w:tcPr>
            <w:tcW w:w="1150" w:type="dxa"/>
            <w:tcMar>
              <w:top w:w="40" w:type="dxa"/>
              <w:left w:w="80" w:type="dxa"/>
              <w:bottom w:w="40" w:type="dxa"/>
              <w:right w:w="80" w:type="dxa"/>
            </w:tcMar>
            <w:vAlign w:val="center"/>
          </w:tcPr>
          <w:p w14:paraId="7FB69C5D"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3.1.5.2 / 3.1.5.5</w:t>
            </w:r>
          </w:p>
        </w:tc>
        <w:tc>
          <w:tcPr>
            <w:tcW w:w="7492" w:type="dxa"/>
            <w:tcMar>
              <w:top w:w="40" w:type="dxa"/>
              <w:left w:w="80" w:type="dxa"/>
              <w:bottom w:w="40" w:type="dxa"/>
              <w:right w:w="80" w:type="dxa"/>
            </w:tcMar>
            <w:vAlign w:val="center"/>
          </w:tcPr>
          <w:p w14:paraId="1B99A415"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1.5.3 – Peinture des coffrages et ouvrages divers</w:t>
            </w:r>
          </w:p>
          <w:p w14:paraId="70387CB0"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Mise en peinture des coffrages verticaux et horizontaux ainsi que des tuyauteries existantes et futures, systèmes adaptés aux supports.</w:t>
            </w:r>
          </w:p>
        </w:tc>
        <w:tc>
          <w:tcPr>
            <w:tcW w:w="1843" w:type="dxa"/>
            <w:tcMar>
              <w:top w:w="40" w:type="dxa"/>
              <w:left w:w="80" w:type="dxa"/>
              <w:bottom w:w="40" w:type="dxa"/>
              <w:right w:w="80" w:type="dxa"/>
            </w:tcMar>
            <w:vAlign w:val="center"/>
          </w:tcPr>
          <w:p w14:paraId="220A2F7C" w14:textId="77777777" w:rsidR="0029529F" w:rsidRPr="00AC7EA6" w:rsidRDefault="0029529F">
            <w:pPr>
              <w:spacing w:before="40" w:after="40"/>
              <w:rPr>
                <w:rFonts w:ascii="Times New Roman" w:hAnsi="Times New Roman" w:cs="Times New Roman"/>
              </w:rPr>
            </w:pPr>
          </w:p>
        </w:tc>
      </w:tr>
      <w:tr w:rsidR="0029529F" w:rsidRPr="00AC7EA6" w14:paraId="4132F6F6" w14:textId="77777777" w:rsidTr="0029529F">
        <w:tc>
          <w:tcPr>
            <w:tcW w:w="1150" w:type="dxa"/>
            <w:tcMar>
              <w:top w:w="40" w:type="dxa"/>
              <w:left w:w="80" w:type="dxa"/>
              <w:bottom w:w="40" w:type="dxa"/>
              <w:right w:w="80" w:type="dxa"/>
            </w:tcMar>
            <w:vAlign w:val="center"/>
          </w:tcPr>
          <w:p w14:paraId="6A670F45"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3.1.5.3</w:t>
            </w:r>
          </w:p>
        </w:tc>
        <w:tc>
          <w:tcPr>
            <w:tcW w:w="7492" w:type="dxa"/>
            <w:tcMar>
              <w:top w:w="40" w:type="dxa"/>
              <w:left w:w="80" w:type="dxa"/>
              <w:bottom w:w="40" w:type="dxa"/>
              <w:right w:w="80" w:type="dxa"/>
            </w:tcMar>
            <w:vAlign w:val="center"/>
          </w:tcPr>
          <w:p w14:paraId="0EC1C806"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1.5.4 – Peinture des menuiseries intérieures et boiseries</w:t>
            </w:r>
          </w:p>
          <w:p w14:paraId="3B234E9E"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Vantaux prépeints, huisseries bois, façades de gaines, trappes, plinthes bois éventuelles de l’étage : égrenage, ponçage, dépoussiérage, impression adaptée (primaire antirouille certifié sur ouvrages métalliques, impression bois), deux couches de laque satinée microporeuse en phase aqueuse avec ponçage entre couches, rechampissage soigné, dépose/repose des béquilles et plaques si nécessaire ; simple révision et nettoyage des menuiseries livrées finies ; garde-corps et main courante de l’escalier du bâtiment 87 traités au même système après décapage des parties écaillées et traitement antirouille.</w:t>
            </w:r>
          </w:p>
        </w:tc>
        <w:tc>
          <w:tcPr>
            <w:tcW w:w="1843" w:type="dxa"/>
            <w:tcMar>
              <w:top w:w="40" w:type="dxa"/>
              <w:left w:w="80" w:type="dxa"/>
              <w:bottom w:w="40" w:type="dxa"/>
              <w:right w:w="80" w:type="dxa"/>
            </w:tcMar>
            <w:vAlign w:val="center"/>
          </w:tcPr>
          <w:p w14:paraId="15E9B0DE" w14:textId="77777777" w:rsidR="0029529F" w:rsidRPr="00AC7EA6" w:rsidRDefault="0029529F">
            <w:pPr>
              <w:spacing w:before="40" w:after="40"/>
              <w:rPr>
                <w:rFonts w:ascii="Times New Roman" w:hAnsi="Times New Roman" w:cs="Times New Roman"/>
              </w:rPr>
            </w:pPr>
          </w:p>
        </w:tc>
      </w:tr>
      <w:tr w:rsidR="0029529F" w:rsidRPr="00AC7EA6" w14:paraId="311251F4" w14:textId="77777777" w:rsidTr="0029529F">
        <w:tc>
          <w:tcPr>
            <w:tcW w:w="1150" w:type="dxa"/>
            <w:tcMar>
              <w:top w:w="40" w:type="dxa"/>
              <w:left w:w="80" w:type="dxa"/>
              <w:bottom w:w="40" w:type="dxa"/>
              <w:right w:w="80" w:type="dxa"/>
            </w:tcMar>
            <w:vAlign w:val="center"/>
          </w:tcPr>
          <w:p w14:paraId="5B390BB0"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3.1.5.4</w:t>
            </w:r>
          </w:p>
        </w:tc>
        <w:tc>
          <w:tcPr>
            <w:tcW w:w="7492" w:type="dxa"/>
            <w:tcMar>
              <w:top w:w="40" w:type="dxa"/>
              <w:left w:w="80" w:type="dxa"/>
              <w:bottom w:w="40" w:type="dxa"/>
              <w:right w:w="80" w:type="dxa"/>
            </w:tcMar>
            <w:vAlign w:val="center"/>
          </w:tcPr>
          <w:p w14:paraId="3682545A"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1.5.5 – Sablage et mise en peinture des radiateurs conservés – bât. H</w:t>
            </w:r>
          </w:p>
          <w:p w14:paraId="40EACC60"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Vérification préalable au regard du diagnostic plomb (mesures de protection réglementaires en présence de revêtements au plomb dégradés : confinement, aspiration à filtration absolue, déchets en filière adaptée), dépose/repose éventuelle en coordination avec le lot n°3 (vidange et remise en eau au lot n°3) ou traitement en place avec protection intégrale, sablage / aérogommage / décapage jusqu’au métal sain avec récupération et évacuation des résidus (BSD), dégraissage, primaire antirouille, deux couches de peinture spéciale radiateur (T° service ≥ 120 °C), teinte au choix du maître d’œuvre ; consoles, robinetteries non calorifugées et tuyauteries attenantes comprises. Partie centrale du bât. H, radiateurs conservés des locaux rénovés (chambres et magasins exclus).</w:t>
            </w:r>
          </w:p>
        </w:tc>
        <w:tc>
          <w:tcPr>
            <w:tcW w:w="1843" w:type="dxa"/>
            <w:tcMar>
              <w:top w:w="40" w:type="dxa"/>
              <w:left w:w="80" w:type="dxa"/>
              <w:bottom w:w="40" w:type="dxa"/>
              <w:right w:w="80" w:type="dxa"/>
            </w:tcMar>
            <w:vAlign w:val="center"/>
          </w:tcPr>
          <w:p w14:paraId="00CC1A1C" w14:textId="77777777" w:rsidR="0029529F" w:rsidRPr="00AC7EA6" w:rsidRDefault="0029529F">
            <w:pPr>
              <w:spacing w:before="40" w:after="40"/>
              <w:rPr>
                <w:rFonts w:ascii="Times New Roman" w:hAnsi="Times New Roman" w:cs="Times New Roman"/>
              </w:rPr>
            </w:pPr>
          </w:p>
        </w:tc>
      </w:tr>
      <w:tr w:rsidR="0029529F" w:rsidRPr="00AC7EA6" w14:paraId="673759E9" w14:textId="77777777" w:rsidTr="0029529F">
        <w:tc>
          <w:tcPr>
            <w:tcW w:w="1150" w:type="dxa"/>
            <w:tcMar>
              <w:top w:w="40" w:type="dxa"/>
              <w:left w:w="80" w:type="dxa"/>
              <w:bottom w:w="40" w:type="dxa"/>
              <w:right w:w="80" w:type="dxa"/>
            </w:tcMar>
            <w:vAlign w:val="center"/>
          </w:tcPr>
          <w:p w14:paraId="26DED6CF"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3.1.5.5</w:t>
            </w:r>
          </w:p>
        </w:tc>
        <w:tc>
          <w:tcPr>
            <w:tcW w:w="7492" w:type="dxa"/>
            <w:tcMar>
              <w:top w:w="40" w:type="dxa"/>
              <w:left w:w="80" w:type="dxa"/>
              <w:bottom w:w="40" w:type="dxa"/>
              <w:right w:w="80" w:type="dxa"/>
            </w:tcMar>
            <w:vAlign w:val="center"/>
          </w:tcPr>
          <w:p w14:paraId="4DE38805"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1.5.6 – Peinture des canalisations et tuyauteries apparentes</w:t>
            </w:r>
          </w:p>
          <w:p w14:paraId="2CE60E95"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Deux couches de peinture adaptée à chaque support (acier, cuivre, fonte, PVC avec primaire d’adhérence spécifique), dégraissage et impression compris ; repérage conventionnel des fluides par teintes normalisées NF X08-100 ou bagues dans les locaux techniques, en cohérence avec le lot n°3. Bâtiments 87 et H : canalisations apparentes non coffrées des locaux techniques, sanitaires et circulations.</w:t>
            </w:r>
          </w:p>
        </w:tc>
        <w:tc>
          <w:tcPr>
            <w:tcW w:w="1843" w:type="dxa"/>
            <w:tcMar>
              <w:top w:w="40" w:type="dxa"/>
              <w:left w:w="80" w:type="dxa"/>
              <w:bottom w:w="40" w:type="dxa"/>
              <w:right w:w="80" w:type="dxa"/>
            </w:tcMar>
            <w:vAlign w:val="center"/>
          </w:tcPr>
          <w:p w14:paraId="386DCBFC" w14:textId="77777777" w:rsidR="0029529F" w:rsidRPr="00AC7EA6" w:rsidRDefault="0029529F">
            <w:pPr>
              <w:spacing w:before="40" w:after="40"/>
              <w:rPr>
                <w:rFonts w:ascii="Times New Roman" w:hAnsi="Times New Roman" w:cs="Times New Roman"/>
              </w:rPr>
            </w:pPr>
          </w:p>
        </w:tc>
      </w:tr>
      <w:tr w:rsidR="0029529F" w:rsidRPr="00AC7EA6" w14:paraId="4113788F" w14:textId="77777777" w:rsidTr="0029529F">
        <w:tc>
          <w:tcPr>
            <w:tcW w:w="1150" w:type="dxa"/>
            <w:tcMar>
              <w:top w:w="40" w:type="dxa"/>
              <w:left w:w="80" w:type="dxa"/>
              <w:bottom w:w="40" w:type="dxa"/>
              <w:right w:w="80" w:type="dxa"/>
            </w:tcMar>
            <w:vAlign w:val="center"/>
          </w:tcPr>
          <w:p w14:paraId="518137E7"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3.1.5.6</w:t>
            </w:r>
          </w:p>
        </w:tc>
        <w:tc>
          <w:tcPr>
            <w:tcW w:w="7492" w:type="dxa"/>
            <w:tcMar>
              <w:top w:w="40" w:type="dxa"/>
              <w:left w:w="80" w:type="dxa"/>
              <w:bottom w:w="40" w:type="dxa"/>
              <w:right w:w="80" w:type="dxa"/>
            </w:tcMar>
            <w:vAlign w:val="center"/>
          </w:tcPr>
          <w:p w14:paraId="654A8736"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1.5.7 – Peinture de sol des locaux techniques</w:t>
            </w:r>
          </w:p>
          <w:p w14:paraId="77320AD7"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Préparation mécanique (grenaillage ou ponçage diamant, réparation des épaufrures au mortier de résine, aspiration), vérification de siccité et cohésion (essais d’arrachement si nécessaire), primaire époxydique et deux couches de peinture de sol époxydique ou polyuréthane bi-composante, résistance au trafic adaptée, finition antidérapante par saupoudrage de charges, teinte au choix du maître d’œuvre ; plinthes à gorge périphériques h = 0,10 m ; marquage au sol des circulations et dégagements devant les armoires électriques si demandé. Localisation : bât. 87 future sous-station (actuelle chaufferie), local DIRISI, local de stockage de l’extension, locaux de stockage sous l’escalier, local pompe ; bât. H futur local sous-station (actuel magasin 011).</w:t>
            </w:r>
          </w:p>
        </w:tc>
        <w:tc>
          <w:tcPr>
            <w:tcW w:w="1843" w:type="dxa"/>
            <w:tcMar>
              <w:top w:w="40" w:type="dxa"/>
              <w:left w:w="80" w:type="dxa"/>
              <w:bottom w:w="40" w:type="dxa"/>
              <w:right w:w="80" w:type="dxa"/>
            </w:tcMar>
            <w:vAlign w:val="center"/>
          </w:tcPr>
          <w:p w14:paraId="2C9090E5" w14:textId="77777777" w:rsidR="0029529F" w:rsidRPr="00AC7EA6" w:rsidRDefault="0029529F">
            <w:pPr>
              <w:spacing w:before="40" w:after="40"/>
              <w:rPr>
                <w:rFonts w:ascii="Times New Roman" w:hAnsi="Times New Roman" w:cs="Times New Roman"/>
              </w:rPr>
            </w:pPr>
          </w:p>
        </w:tc>
      </w:tr>
      <w:tr w:rsidR="0029529F" w:rsidRPr="00AC7EA6" w14:paraId="3D001B80" w14:textId="77777777" w:rsidTr="0029529F">
        <w:tc>
          <w:tcPr>
            <w:tcW w:w="1150" w:type="dxa"/>
            <w:shd w:val="clear" w:color="auto" w:fill="F2F2F2"/>
            <w:tcMar>
              <w:top w:w="40" w:type="dxa"/>
              <w:left w:w="80" w:type="dxa"/>
              <w:bottom w:w="40" w:type="dxa"/>
              <w:right w:w="80" w:type="dxa"/>
            </w:tcMar>
            <w:vAlign w:val="center"/>
          </w:tcPr>
          <w:p w14:paraId="2304D7D9" w14:textId="77777777" w:rsidR="0029529F" w:rsidRPr="00AC7EA6" w:rsidRDefault="0029529F">
            <w:pPr>
              <w:spacing w:before="40" w:after="40"/>
              <w:rPr>
                <w:rFonts w:ascii="Times New Roman" w:hAnsi="Times New Roman" w:cs="Times New Roman"/>
              </w:rPr>
            </w:pPr>
          </w:p>
        </w:tc>
        <w:tc>
          <w:tcPr>
            <w:tcW w:w="7492" w:type="dxa"/>
            <w:shd w:val="clear" w:color="auto" w:fill="F2F2F2"/>
            <w:tcMar>
              <w:top w:w="40" w:type="dxa"/>
              <w:left w:w="80" w:type="dxa"/>
              <w:bottom w:w="40" w:type="dxa"/>
              <w:right w:w="80" w:type="dxa"/>
            </w:tcMar>
            <w:vAlign w:val="center"/>
          </w:tcPr>
          <w:p w14:paraId="0BD967C4"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SOUS-TOTAL SECTION TECHNIQUE N° 1 – € HT</w:t>
            </w:r>
          </w:p>
        </w:tc>
        <w:tc>
          <w:tcPr>
            <w:tcW w:w="1843" w:type="dxa"/>
            <w:shd w:val="clear" w:color="auto" w:fill="F2F2F2"/>
            <w:tcMar>
              <w:top w:w="40" w:type="dxa"/>
              <w:left w:w="80" w:type="dxa"/>
              <w:bottom w:w="40" w:type="dxa"/>
              <w:right w:w="80" w:type="dxa"/>
            </w:tcMar>
            <w:vAlign w:val="center"/>
          </w:tcPr>
          <w:p w14:paraId="6200350D" w14:textId="77777777" w:rsidR="0029529F" w:rsidRPr="00AC7EA6" w:rsidRDefault="0029529F">
            <w:pPr>
              <w:spacing w:before="40" w:after="40"/>
              <w:rPr>
                <w:rFonts w:ascii="Times New Roman" w:hAnsi="Times New Roman" w:cs="Times New Roman"/>
              </w:rPr>
            </w:pPr>
          </w:p>
        </w:tc>
      </w:tr>
      <w:tr w:rsidR="0029529F" w:rsidRPr="00AC7EA6" w14:paraId="6757360A" w14:textId="77777777" w:rsidTr="0029529F">
        <w:tc>
          <w:tcPr>
            <w:tcW w:w="1150" w:type="dxa"/>
            <w:tcMar>
              <w:top w:w="40" w:type="dxa"/>
              <w:left w:w="80" w:type="dxa"/>
              <w:bottom w:w="40" w:type="dxa"/>
              <w:right w:w="80" w:type="dxa"/>
            </w:tcMar>
            <w:vAlign w:val="center"/>
          </w:tcPr>
          <w:p w14:paraId="428ADFEA"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3.2.1.1</w:t>
            </w:r>
          </w:p>
        </w:tc>
        <w:tc>
          <w:tcPr>
            <w:tcW w:w="7492" w:type="dxa"/>
            <w:tcMar>
              <w:top w:w="40" w:type="dxa"/>
              <w:left w:w="80" w:type="dxa"/>
              <w:bottom w:w="40" w:type="dxa"/>
              <w:right w:w="80" w:type="dxa"/>
            </w:tcMar>
            <w:vAlign w:val="center"/>
          </w:tcPr>
          <w:p w14:paraId="64BCF809"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2.1.1 – Préparation des supports carrelés</w:t>
            </w:r>
          </w:p>
          <w:p w14:paraId="40845DEA"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Contrôle de planéité (7 mm / règle de 2 m et 2 mm / réglet de 0,20 m), de cohésion, de fissuration et d’humidité avec signalement écrit des non-conformités, nettoyage, grattage, dépoussiérage, primaire d’accrochage adapté, ragréage fibré classe P3 minimum certifié QB en épaisseur adaptée, reprises localisées de planéité, formes de pente 1 à 2 % vers siphons et grilles de sol (coordination altimétrique avec le lot n°3), traitement des fissures et joints de fractionnement.</w:t>
            </w:r>
          </w:p>
        </w:tc>
        <w:tc>
          <w:tcPr>
            <w:tcW w:w="1843" w:type="dxa"/>
            <w:tcMar>
              <w:top w:w="40" w:type="dxa"/>
              <w:left w:w="80" w:type="dxa"/>
              <w:bottom w:w="40" w:type="dxa"/>
              <w:right w:w="80" w:type="dxa"/>
            </w:tcMar>
            <w:vAlign w:val="center"/>
          </w:tcPr>
          <w:p w14:paraId="5E15046A" w14:textId="77777777" w:rsidR="0029529F" w:rsidRPr="00AC7EA6" w:rsidRDefault="0029529F">
            <w:pPr>
              <w:spacing w:before="40" w:after="40"/>
              <w:rPr>
                <w:rFonts w:ascii="Times New Roman" w:hAnsi="Times New Roman" w:cs="Times New Roman"/>
              </w:rPr>
            </w:pPr>
          </w:p>
        </w:tc>
      </w:tr>
      <w:tr w:rsidR="0029529F" w:rsidRPr="00AC7EA6" w14:paraId="2F07FC8C" w14:textId="77777777" w:rsidTr="0029529F">
        <w:tc>
          <w:tcPr>
            <w:tcW w:w="1150" w:type="dxa"/>
            <w:tcMar>
              <w:top w:w="40" w:type="dxa"/>
              <w:left w:w="80" w:type="dxa"/>
              <w:bottom w:w="40" w:type="dxa"/>
              <w:right w:w="80" w:type="dxa"/>
            </w:tcMar>
            <w:vAlign w:val="center"/>
          </w:tcPr>
          <w:p w14:paraId="17C10E2E"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3.2.1.2</w:t>
            </w:r>
          </w:p>
        </w:tc>
        <w:tc>
          <w:tcPr>
            <w:tcW w:w="7492" w:type="dxa"/>
            <w:tcMar>
              <w:top w:w="40" w:type="dxa"/>
              <w:left w:w="80" w:type="dxa"/>
              <w:bottom w:w="40" w:type="dxa"/>
              <w:right w:w="80" w:type="dxa"/>
            </w:tcMar>
            <w:vAlign w:val="center"/>
          </w:tcPr>
          <w:p w14:paraId="6449A771"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2.1.2 – Système de protection à l’eau sous carrelage (SPEC)</w:t>
            </w:r>
          </w:p>
          <w:p w14:paraId="78A984BF"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Dans l’ensemble des pièces humides carrelées, système sous Avis Technique ou DTA : primaire d’adhérence, résine d’imperméabilisation en deux couches croisées (consommation conforme à l’AT), bandes de renfort noyées en périphérie (relevés ≥ 10 cm), angles rentrants et saillants, joints de fractionnement, manchettes d’étanchéité aux pénétrations, platines aux siphons de sol, délais de séchage conformes.</w:t>
            </w:r>
          </w:p>
        </w:tc>
        <w:tc>
          <w:tcPr>
            <w:tcW w:w="1843" w:type="dxa"/>
            <w:tcMar>
              <w:top w:w="40" w:type="dxa"/>
              <w:left w:w="80" w:type="dxa"/>
              <w:bottom w:w="40" w:type="dxa"/>
              <w:right w:w="80" w:type="dxa"/>
            </w:tcMar>
            <w:vAlign w:val="center"/>
          </w:tcPr>
          <w:p w14:paraId="046EF05E" w14:textId="77777777" w:rsidR="0029529F" w:rsidRPr="00AC7EA6" w:rsidRDefault="0029529F">
            <w:pPr>
              <w:spacing w:before="40" w:after="40"/>
              <w:rPr>
                <w:rFonts w:ascii="Times New Roman" w:hAnsi="Times New Roman" w:cs="Times New Roman"/>
              </w:rPr>
            </w:pPr>
          </w:p>
        </w:tc>
      </w:tr>
      <w:tr w:rsidR="0029529F" w:rsidRPr="00AC7EA6" w14:paraId="2EB5AEE5" w14:textId="77777777" w:rsidTr="0029529F">
        <w:tc>
          <w:tcPr>
            <w:tcW w:w="1150" w:type="dxa"/>
            <w:tcMar>
              <w:top w:w="40" w:type="dxa"/>
              <w:left w:w="80" w:type="dxa"/>
              <w:bottom w:w="40" w:type="dxa"/>
              <w:right w:w="80" w:type="dxa"/>
            </w:tcMar>
            <w:vAlign w:val="center"/>
          </w:tcPr>
          <w:p w14:paraId="60705BC0"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3.2.1.2</w:t>
            </w:r>
          </w:p>
        </w:tc>
        <w:tc>
          <w:tcPr>
            <w:tcW w:w="7492" w:type="dxa"/>
            <w:tcMar>
              <w:top w:w="40" w:type="dxa"/>
              <w:left w:w="80" w:type="dxa"/>
              <w:bottom w:w="40" w:type="dxa"/>
              <w:right w:w="80" w:type="dxa"/>
            </w:tcMar>
            <w:vAlign w:val="center"/>
          </w:tcPr>
          <w:p w14:paraId="517CCD3C"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2.1.3 – Renfort d’étanchéité des douches (natte ou SEL)</w:t>
            </w:r>
          </w:p>
          <w:p w14:paraId="3BDA53A2"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Dans les douches : natte d’étanchéité collée ou système d’étanchéité liquide (SEL) sous Avis Technique, remonté en plinthe et appliqué sur les parois exposées au ruissellement jusqu’à 2,00 m de hauteur minimum, traitement des angles, traversées de robinetterie, raccords aux receveurs et siphons de sol (douches de plain-pied).</w:t>
            </w:r>
          </w:p>
        </w:tc>
        <w:tc>
          <w:tcPr>
            <w:tcW w:w="1843" w:type="dxa"/>
            <w:tcMar>
              <w:top w:w="40" w:type="dxa"/>
              <w:left w:w="80" w:type="dxa"/>
              <w:bottom w:w="40" w:type="dxa"/>
              <w:right w:w="80" w:type="dxa"/>
            </w:tcMar>
            <w:vAlign w:val="center"/>
          </w:tcPr>
          <w:p w14:paraId="1563BF7C" w14:textId="77777777" w:rsidR="0029529F" w:rsidRPr="00AC7EA6" w:rsidRDefault="0029529F">
            <w:pPr>
              <w:spacing w:before="40" w:after="40"/>
              <w:rPr>
                <w:rFonts w:ascii="Times New Roman" w:hAnsi="Times New Roman" w:cs="Times New Roman"/>
              </w:rPr>
            </w:pPr>
          </w:p>
        </w:tc>
      </w:tr>
      <w:tr w:rsidR="0029529F" w:rsidRPr="00AC7EA6" w14:paraId="5E316F48" w14:textId="77777777" w:rsidTr="0029529F">
        <w:tc>
          <w:tcPr>
            <w:tcW w:w="1150" w:type="dxa"/>
            <w:tcMar>
              <w:top w:w="40" w:type="dxa"/>
              <w:left w:w="80" w:type="dxa"/>
              <w:bottom w:w="40" w:type="dxa"/>
              <w:right w:w="80" w:type="dxa"/>
            </w:tcMar>
            <w:vAlign w:val="center"/>
          </w:tcPr>
          <w:p w14:paraId="0B035F89"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3.2.1.3</w:t>
            </w:r>
          </w:p>
        </w:tc>
        <w:tc>
          <w:tcPr>
            <w:tcW w:w="7492" w:type="dxa"/>
            <w:tcMar>
              <w:top w:w="40" w:type="dxa"/>
              <w:left w:w="80" w:type="dxa"/>
              <w:bottom w:w="40" w:type="dxa"/>
              <w:right w:w="80" w:type="dxa"/>
            </w:tcMar>
            <w:vAlign w:val="center"/>
          </w:tcPr>
          <w:p w14:paraId="1B74C42B"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2.1.4 – Carrelage grès cérame – sols</w:t>
            </w:r>
          </w:p>
          <w:p w14:paraId="69965E57"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Carreaux rectifiés grès cérame pleine masse ou émaillé certifiés NF, format 45 × 45 ou 60 × 60 cm au choix du maître d’œuvre, classement U4 P3 E3 C2 minimum, glissance R10 minimum (R11 ou PN12 au droit des douches et sols mouillés pieds nus) ; pose collée en double encollage au mortier-colle déformable C2-S1 minimum adapté au support et au SPEC, joints réduits ≥ 3 mm, calepinage au visa (départs axés, coupes en rives cachées), joints hydrofuges teinte au choix (époxydiques dans les douches), joints de fractionnement et périphériques NF DTU 52.2 au mastic élastomère, découpes soignées (appareils, siphons, huisseries, bâtis-supports, canalisations) avec mastic sanitaire fongicide, profils de transition et seuils inox ou aluminium sans ressaut &gt; 2 cm chanfreiné, protection des ouvrages jusqu’à réception. Localisation : bât. 87 ensemble des pièces de l’extension (RDC et étage) et ensemble des pièces du corps principal RDC (locaux techniques et de stockage, tous les bureaux, pièce de convivialité, couloirs) ; bât. H partie centrale : les sept pièces humides, quatre buanderies, dégagements, entrées, locaux techniques et sous-station, pièce 012, pièce de convivialité.</w:t>
            </w:r>
          </w:p>
        </w:tc>
        <w:tc>
          <w:tcPr>
            <w:tcW w:w="1843" w:type="dxa"/>
            <w:tcMar>
              <w:top w:w="40" w:type="dxa"/>
              <w:left w:w="80" w:type="dxa"/>
              <w:bottom w:w="40" w:type="dxa"/>
              <w:right w:w="80" w:type="dxa"/>
            </w:tcMar>
            <w:vAlign w:val="center"/>
          </w:tcPr>
          <w:p w14:paraId="5A8FEAD9" w14:textId="77777777" w:rsidR="0029529F" w:rsidRPr="00AC7EA6" w:rsidRDefault="0029529F">
            <w:pPr>
              <w:spacing w:before="40" w:after="40"/>
              <w:rPr>
                <w:rFonts w:ascii="Times New Roman" w:hAnsi="Times New Roman" w:cs="Times New Roman"/>
              </w:rPr>
            </w:pPr>
          </w:p>
        </w:tc>
      </w:tr>
      <w:tr w:rsidR="0029529F" w:rsidRPr="00AC7EA6" w14:paraId="075BA2C7" w14:textId="77777777" w:rsidTr="0029529F">
        <w:tc>
          <w:tcPr>
            <w:tcW w:w="1150" w:type="dxa"/>
            <w:tcMar>
              <w:top w:w="40" w:type="dxa"/>
              <w:left w:w="80" w:type="dxa"/>
              <w:bottom w:w="40" w:type="dxa"/>
              <w:right w:w="80" w:type="dxa"/>
            </w:tcMar>
            <w:vAlign w:val="center"/>
          </w:tcPr>
          <w:p w14:paraId="2986FEF0"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3.2.1.3</w:t>
            </w:r>
          </w:p>
        </w:tc>
        <w:tc>
          <w:tcPr>
            <w:tcW w:w="7492" w:type="dxa"/>
            <w:tcMar>
              <w:top w:w="40" w:type="dxa"/>
              <w:left w:w="80" w:type="dxa"/>
              <w:bottom w:w="40" w:type="dxa"/>
              <w:right w:w="80" w:type="dxa"/>
            </w:tcMar>
            <w:vAlign w:val="center"/>
          </w:tcPr>
          <w:p w14:paraId="3AEF189A"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2.1.5 – Plinthes carrelage assorties à talon h = 8 cm</w:t>
            </w:r>
          </w:p>
          <w:p w14:paraId="018F9681"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En périphérie des parois non faïencées, posées à joints alignés sur ceux du sol.</w:t>
            </w:r>
          </w:p>
        </w:tc>
        <w:tc>
          <w:tcPr>
            <w:tcW w:w="1843" w:type="dxa"/>
            <w:tcMar>
              <w:top w:w="40" w:type="dxa"/>
              <w:left w:w="80" w:type="dxa"/>
              <w:bottom w:w="40" w:type="dxa"/>
              <w:right w:w="80" w:type="dxa"/>
            </w:tcMar>
            <w:vAlign w:val="center"/>
          </w:tcPr>
          <w:p w14:paraId="5ADDBAFF" w14:textId="77777777" w:rsidR="0029529F" w:rsidRPr="00AC7EA6" w:rsidRDefault="0029529F">
            <w:pPr>
              <w:spacing w:before="40" w:after="40"/>
              <w:rPr>
                <w:rFonts w:ascii="Times New Roman" w:hAnsi="Times New Roman" w:cs="Times New Roman"/>
              </w:rPr>
            </w:pPr>
          </w:p>
        </w:tc>
      </w:tr>
      <w:tr w:rsidR="0029529F" w:rsidRPr="00AC7EA6" w14:paraId="03A09159" w14:textId="77777777" w:rsidTr="0029529F">
        <w:tc>
          <w:tcPr>
            <w:tcW w:w="1150" w:type="dxa"/>
            <w:tcMar>
              <w:top w:w="40" w:type="dxa"/>
              <w:left w:w="80" w:type="dxa"/>
              <w:bottom w:w="40" w:type="dxa"/>
              <w:right w:w="80" w:type="dxa"/>
            </w:tcMar>
            <w:vAlign w:val="center"/>
          </w:tcPr>
          <w:p w14:paraId="41A5F8CB"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3.2.2.1</w:t>
            </w:r>
          </w:p>
        </w:tc>
        <w:tc>
          <w:tcPr>
            <w:tcW w:w="7492" w:type="dxa"/>
            <w:tcMar>
              <w:top w:w="40" w:type="dxa"/>
              <w:left w:w="80" w:type="dxa"/>
              <w:bottom w:w="40" w:type="dxa"/>
              <w:right w:w="80" w:type="dxa"/>
            </w:tcMar>
            <w:vAlign w:val="center"/>
          </w:tcPr>
          <w:p w14:paraId="174667C7"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2.2.1 – Revêtement mural en faïence 30 × 60</w:t>
            </w:r>
          </w:p>
          <w:p w14:paraId="03080394"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Carreaux de faïence émaillée certifiés NF, format 30 × 60, teinte au choix du maître d’œuvre, frises, listels ou carreaux contrastés possibles sans plus-value ; pose collée au mortier-colle C2 sur parois planes (plaques hydrofuges dues à la plâtrerie du présent lot, planéité 5 mm / règle de 2 m), calepinage au visa (départs symétriques, coupes égales, alignement recherché avec les joints du sol), joints hydrofuges (époxydiques dans les douches), profils d’angle, de départ et de finition en aluminium anodisé sur toutes arêtes et têtes de cloisons, mastic sanitaire fongicide aux raccordements (appareils, receveurs, sols, plafonds, menuiseries), découpes propres à la scie cloche en coordination avec le lot n°3. Hauteurs : toute hauteur dans les douches sur toutes parois ; 1,50 m au droit des appareils sanitaires et sur l’ensemble des parois des blocs sanitaires et buanderies ; crédences 0,60 m au-dessus des plans de travail et éviers. Localisation : bât. 87 pièces humides de l’extension (RDC et étage), blocs sanitaires et douches de l’étage, crédence de la kitchenette de la salle de convivialité ; bât. H partie centrale : les sept pièces humides, crédence de l’évier de la salle du personnel (002), buanderies, pièces 011 et 012.</w:t>
            </w:r>
          </w:p>
        </w:tc>
        <w:tc>
          <w:tcPr>
            <w:tcW w:w="1843" w:type="dxa"/>
            <w:tcMar>
              <w:top w:w="40" w:type="dxa"/>
              <w:left w:w="80" w:type="dxa"/>
              <w:bottom w:w="40" w:type="dxa"/>
              <w:right w:w="80" w:type="dxa"/>
            </w:tcMar>
            <w:vAlign w:val="center"/>
          </w:tcPr>
          <w:p w14:paraId="2ED6DB1C" w14:textId="77777777" w:rsidR="0029529F" w:rsidRPr="00AC7EA6" w:rsidRDefault="0029529F">
            <w:pPr>
              <w:spacing w:before="40" w:after="40"/>
              <w:rPr>
                <w:rFonts w:ascii="Times New Roman" w:hAnsi="Times New Roman" w:cs="Times New Roman"/>
              </w:rPr>
            </w:pPr>
          </w:p>
        </w:tc>
      </w:tr>
      <w:tr w:rsidR="0029529F" w:rsidRPr="00AC7EA6" w14:paraId="3311FD78" w14:textId="77777777" w:rsidTr="0029529F">
        <w:tc>
          <w:tcPr>
            <w:tcW w:w="1150" w:type="dxa"/>
            <w:tcMar>
              <w:top w:w="40" w:type="dxa"/>
              <w:left w:w="80" w:type="dxa"/>
              <w:bottom w:w="40" w:type="dxa"/>
              <w:right w:w="80" w:type="dxa"/>
            </w:tcMar>
            <w:vAlign w:val="center"/>
          </w:tcPr>
          <w:p w14:paraId="1F6F3081"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3.2.3.1</w:t>
            </w:r>
          </w:p>
        </w:tc>
        <w:tc>
          <w:tcPr>
            <w:tcW w:w="7492" w:type="dxa"/>
            <w:tcMar>
              <w:top w:w="40" w:type="dxa"/>
              <w:left w:w="80" w:type="dxa"/>
              <w:bottom w:w="40" w:type="dxa"/>
              <w:right w:w="80" w:type="dxa"/>
            </w:tcMar>
            <w:vAlign w:val="center"/>
          </w:tcPr>
          <w:p w14:paraId="07A48A8D"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2.3.1 – Préparation des supports des sols souples</w:t>
            </w:r>
          </w:p>
          <w:p w14:paraId="4E63F3DA"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Conformément au NF DTU 53.12 : contrôle de cohésion, de planéité (5 mm / règle de 2 m et 1 mm / réglet de 0,20 m) et d’humidité (bombe au carbure si nécessaire, ≤ 4,5 % pour supports ciment) avec constat écrit, reprise des planchers dégradés, élimination complète des anciens revêtements et colles, rebouchages au mortier de réparation, primaire d’adhérence, ragréage autolissant classe P3 minimum certifié QB ép. ≥ 3 mm, ragréages localisés complémentaires, ponçage et dépoussiérage.</w:t>
            </w:r>
          </w:p>
        </w:tc>
        <w:tc>
          <w:tcPr>
            <w:tcW w:w="1843" w:type="dxa"/>
            <w:tcMar>
              <w:top w:w="40" w:type="dxa"/>
              <w:left w:w="80" w:type="dxa"/>
              <w:bottom w:w="40" w:type="dxa"/>
              <w:right w:w="80" w:type="dxa"/>
            </w:tcMar>
            <w:vAlign w:val="center"/>
          </w:tcPr>
          <w:p w14:paraId="5F8CAE92" w14:textId="77777777" w:rsidR="0029529F" w:rsidRPr="00AC7EA6" w:rsidRDefault="0029529F">
            <w:pPr>
              <w:spacing w:before="40" w:after="40"/>
              <w:rPr>
                <w:rFonts w:ascii="Times New Roman" w:hAnsi="Times New Roman" w:cs="Times New Roman"/>
              </w:rPr>
            </w:pPr>
          </w:p>
        </w:tc>
      </w:tr>
      <w:tr w:rsidR="0029529F" w:rsidRPr="00AC7EA6" w14:paraId="72CD782A" w14:textId="77777777" w:rsidTr="0029529F">
        <w:tc>
          <w:tcPr>
            <w:tcW w:w="1150" w:type="dxa"/>
            <w:tcMar>
              <w:top w:w="40" w:type="dxa"/>
              <w:left w:w="80" w:type="dxa"/>
              <w:bottom w:w="40" w:type="dxa"/>
              <w:right w:w="80" w:type="dxa"/>
            </w:tcMar>
            <w:vAlign w:val="center"/>
          </w:tcPr>
          <w:p w14:paraId="5435A3AF"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3.2.3.2</w:t>
            </w:r>
          </w:p>
        </w:tc>
        <w:tc>
          <w:tcPr>
            <w:tcW w:w="7492" w:type="dxa"/>
            <w:tcMar>
              <w:top w:w="40" w:type="dxa"/>
              <w:left w:w="80" w:type="dxa"/>
              <w:bottom w:w="40" w:type="dxa"/>
              <w:right w:w="80" w:type="dxa"/>
            </w:tcMar>
            <w:vAlign w:val="center"/>
          </w:tcPr>
          <w:p w14:paraId="28D5482B"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2.3.2 – Revêtement de sol PVC en lames type parquet</w:t>
            </w:r>
          </w:p>
          <w:p w14:paraId="193E5A10"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PVC homogène ou hétérogène compact en lames (ex. 120 × 20 cm) NF EN ISO 10581/10582, classement U4 P3 E1 C0 minimum (certificat QB UPEC exigé), épaisseur totale ≥ 2 mm, traitement de surface polyuréthane sans métallisation obligatoire, réaction au feu Cfl-s1 minimum (PV fourni) ; pose collée en plein à la colle acrylique préconisée ou clipsée, marouflage soigné, joints soudés à chaud au cordon assorti après rainurage, arasés ; teintes et calepinage au choix du maître d’œuvre, teintes différenciées possibles pour le repérage des circulations (contrastes accessibilité) ; points singuliers (découpes aux huisseries et canalisations avec mastic, remontées en plinthe en zones exposées), barres de seuil et profils de transition inox ou aluminium vissés sans ressaut, protection jusqu’à réception, consignes d’entretien au DOE. Localisation : bât. 87 étage – tous les bureaux, salle de réunion, salle d’instruction, vestiaires hommes et femmes, circulations.</w:t>
            </w:r>
          </w:p>
        </w:tc>
        <w:tc>
          <w:tcPr>
            <w:tcW w:w="1843" w:type="dxa"/>
            <w:tcMar>
              <w:top w:w="40" w:type="dxa"/>
              <w:left w:w="80" w:type="dxa"/>
              <w:bottom w:w="40" w:type="dxa"/>
              <w:right w:w="80" w:type="dxa"/>
            </w:tcMar>
            <w:vAlign w:val="center"/>
          </w:tcPr>
          <w:p w14:paraId="2EE71997" w14:textId="77777777" w:rsidR="0029529F" w:rsidRPr="00AC7EA6" w:rsidRDefault="0029529F">
            <w:pPr>
              <w:spacing w:before="40" w:after="40"/>
              <w:rPr>
                <w:rFonts w:ascii="Times New Roman" w:hAnsi="Times New Roman" w:cs="Times New Roman"/>
              </w:rPr>
            </w:pPr>
          </w:p>
        </w:tc>
      </w:tr>
      <w:tr w:rsidR="0029529F" w:rsidRPr="00AC7EA6" w14:paraId="6EAD0020" w14:textId="77777777" w:rsidTr="0029529F">
        <w:tc>
          <w:tcPr>
            <w:tcW w:w="1150" w:type="dxa"/>
            <w:tcMar>
              <w:top w:w="40" w:type="dxa"/>
              <w:left w:w="80" w:type="dxa"/>
              <w:bottom w:w="40" w:type="dxa"/>
              <w:right w:w="80" w:type="dxa"/>
            </w:tcMar>
            <w:vAlign w:val="center"/>
          </w:tcPr>
          <w:p w14:paraId="4F87D9F2"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3.2.3.3</w:t>
            </w:r>
          </w:p>
        </w:tc>
        <w:tc>
          <w:tcPr>
            <w:tcW w:w="7492" w:type="dxa"/>
            <w:tcMar>
              <w:top w:w="40" w:type="dxa"/>
              <w:left w:w="80" w:type="dxa"/>
              <w:bottom w:w="40" w:type="dxa"/>
              <w:right w:w="80" w:type="dxa"/>
            </w:tcMar>
            <w:vAlign w:val="center"/>
          </w:tcPr>
          <w:p w14:paraId="29C0E7F7"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2.3.3 – Plinthes PVC à lèvre souple h ≥ 80 mm</w:t>
            </w:r>
          </w:p>
          <w:p w14:paraId="688FBA68"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Assorties au revêtement, collées, en périphérie de tous les locaux revêtus de sols souples, y compris angles préformés intérieurs et extérieurs, embouts et coupes d’onglet ; type arrêté par le maître d’œuvre au vu des échantillons.</w:t>
            </w:r>
          </w:p>
        </w:tc>
        <w:tc>
          <w:tcPr>
            <w:tcW w:w="1843" w:type="dxa"/>
            <w:tcMar>
              <w:top w:w="40" w:type="dxa"/>
              <w:left w:w="80" w:type="dxa"/>
              <w:bottom w:w="40" w:type="dxa"/>
              <w:right w:w="80" w:type="dxa"/>
            </w:tcMar>
            <w:vAlign w:val="center"/>
          </w:tcPr>
          <w:p w14:paraId="2ABEA42C" w14:textId="77777777" w:rsidR="0029529F" w:rsidRPr="00AC7EA6" w:rsidRDefault="0029529F">
            <w:pPr>
              <w:spacing w:before="40" w:after="40"/>
              <w:rPr>
                <w:rFonts w:ascii="Times New Roman" w:hAnsi="Times New Roman" w:cs="Times New Roman"/>
              </w:rPr>
            </w:pPr>
          </w:p>
        </w:tc>
      </w:tr>
      <w:tr w:rsidR="0029529F" w:rsidRPr="00AC7EA6" w14:paraId="1C1C00B5" w14:textId="77777777" w:rsidTr="0029529F">
        <w:tc>
          <w:tcPr>
            <w:tcW w:w="1150" w:type="dxa"/>
            <w:tcMar>
              <w:top w:w="40" w:type="dxa"/>
              <w:left w:w="80" w:type="dxa"/>
              <w:bottom w:w="40" w:type="dxa"/>
              <w:right w:w="80" w:type="dxa"/>
            </w:tcMar>
            <w:vAlign w:val="center"/>
          </w:tcPr>
          <w:p w14:paraId="62622120"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3.2.4.1</w:t>
            </w:r>
          </w:p>
        </w:tc>
        <w:tc>
          <w:tcPr>
            <w:tcW w:w="7492" w:type="dxa"/>
            <w:tcMar>
              <w:top w:w="40" w:type="dxa"/>
              <w:left w:w="80" w:type="dxa"/>
              <w:bottom w:w="40" w:type="dxa"/>
              <w:right w:w="80" w:type="dxa"/>
            </w:tcMar>
            <w:vAlign w:val="center"/>
          </w:tcPr>
          <w:p w14:paraId="699DB891"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2.4.1 – Nez de marche antidérapants et contrastés</w:t>
            </w:r>
          </w:p>
          <w:p w14:paraId="62BE7AC0"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Nez de marche antidérapants (R10 minimum), contrastés visuellement (contraste ≥ 70 % recherché), non saillants, fixés mécaniquement et collés sur toute la largeur des marches (bandes antidérapantes transparentes ou stries mécaniques), y compris préparation, ragréage localisé et essais de convenance d’adhérence. Escalier principal en entier, du rez-de-chaussée aux combles.</w:t>
            </w:r>
          </w:p>
        </w:tc>
        <w:tc>
          <w:tcPr>
            <w:tcW w:w="1843" w:type="dxa"/>
            <w:tcMar>
              <w:top w:w="40" w:type="dxa"/>
              <w:left w:w="80" w:type="dxa"/>
              <w:bottom w:w="40" w:type="dxa"/>
              <w:right w:w="80" w:type="dxa"/>
            </w:tcMar>
            <w:vAlign w:val="center"/>
          </w:tcPr>
          <w:p w14:paraId="5633CBBD" w14:textId="77777777" w:rsidR="0029529F" w:rsidRPr="00AC7EA6" w:rsidRDefault="0029529F">
            <w:pPr>
              <w:spacing w:before="40" w:after="40"/>
              <w:rPr>
                <w:rFonts w:ascii="Times New Roman" w:hAnsi="Times New Roman" w:cs="Times New Roman"/>
              </w:rPr>
            </w:pPr>
          </w:p>
        </w:tc>
      </w:tr>
      <w:tr w:rsidR="0029529F" w:rsidRPr="00AC7EA6" w14:paraId="035B3334" w14:textId="77777777" w:rsidTr="0029529F">
        <w:tc>
          <w:tcPr>
            <w:tcW w:w="1150" w:type="dxa"/>
            <w:tcMar>
              <w:top w:w="40" w:type="dxa"/>
              <w:left w:w="80" w:type="dxa"/>
              <w:bottom w:w="40" w:type="dxa"/>
              <w:right w:w="80" w:type="dxa"/>
            </w:tcMar>
            <w:vAlign w:val="center"/>
          </w:tcPr>
          <w:p w14:paraId="7953DA92"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3.2.4.2.1 à 3.2.4.2.8</w:t>
            </w:r>
          </w:p>
        </w:tc>
        <w:tc>
          <w:tcPr>
            <w:tcW w:w="7492" w:type="dxa"/>
            <w:tcMar>
              <w:top w:w="40" w:type="dxa"/>
              <w:left w:w="80" w:type="dxa"/>
              <w:bottom w:w="40" w:type="dxa"/>
              <w:right w:w="80" w:type="dxa"/>
            </w:tcMar>
            <w:vAlign w:val="center"/>
          </w:tcPr>
          <w:p w14:paraId="20F5036F"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2.4.2 – Rénovation complète des marches, contremarches, paliers et limons</w:t>
            </w:r>
          </w:p>
          <w:p w14:paraId="72917E7B"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Diagnostic de l’état du support bois, décapage chimique ou thermique basse température des anciennes finitions, réparations mécaniques (resserrage des assemblages, suppression des grincements par injection de colle et calage, remplacement à l’identique des pièces dégradées après purge), traitement insecticide et fongicide curatif certifié CTB-P+ ou équivalent, rebouchage à la pâte à bois ou mastic bi-composant teinté, ponçage complet (marches, contremarches, limons, palier) avec aspiration à filtration fine, dépoussiérage entre grains, essai de teinte préalable validé, vitrification polyuréthane mono ou bi-composante (ou hydrodiluable basse odeur) usage fort trafic (U4 minimum), finition au choix (mate/satinée/brillante), minimum trois couches (impression + fond + finition) avec ponçage intermédiaire, couche de renfort locale possible sur nez de marche ; remplacement des plinthes bois sur les murs ; conditions d’application contrôlées (15-25 °C, absence de poussière).</w:t>
            </w:r>
          </w:p>
        </w:tc>
        <w:tc>
          <w:tcPr>
            <w:tcW w:w="1843" w:type="dxa"/>
            <w:tcMar>
              <w:top w:w="40" w:type="dxa"/>
              <w:left w:w="80" w:type="dxa"/>
              <w:bottom w:w="40" w:type="dxa"/>
              <w:right w:w="80" w:type="dxa"/>
            </w:tcMar>
            <w:vAlign w:val="center"/>
          </w:tcPr>
          <w:p w14:paraId="7E32F12C" w14:textId="77777777" w:rsidR="0029529F" w:rsidRPr="00AC7EA6" w:rsidRDefault="0029529F">
            <w:pPr>
              <w:spacing w:before="40" w:after="40"/>
              <w:rPr>
                <w:rFonts w:ascii="Times New Roman" w:hAnsi="Times New Roman" w:cs="Times New Roman"/>
              </w:rPr>
            </w:pPr>
          </w:p>
        </w:tc>
      </w:tr>
      <w:tr w:rsidR="0029529F" w:rsidRPr="00AC7EA6" w14:paraId="071BF686" w14:textId="77777777" w:rsidTr="0029529F">
        <w:tc>
          <w:tcPr>
            <w:tcW w:w="1150" w:type="dxa"/>
            <w:tcMar>
              <w:top w:w="40" w:type="dxa"/>
              <w:left w:w="80" w:type="dxa"/>
              <w:bottom w:w="40" w:type="dxa"/>
              <w:right w:w="80" w:type="dxa"/>
            </w:tcMar>
            <w:vAlign w:val="center"/>
          </w:tcPr>
          <w:p w14:paraId="5CC7FC13"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3.2.4.2.9</w:t>
            </w:r>
          </w:p>
        </w:tc>
        <w:tc>
          <w:tcPr>
            <w:tcW w:w="7492" w:type="dxa"/>
            <w:tcMar>
              <w:top w:w="40" w:type="dxa"/>
              <w:left w:w="80" w:type="dxa"/>
              <w:bottom w:w="40" w:type="dxa"/>
              <w:right w:w="80" w:type="dxa"/>
            </w:tcMar>
            <w:vAlign w:val="center"/>
          </w:tcPr>
          <w:p w14:paraId="7F1E48DA"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2.4.3 – Remplacement des rampes et mains courantes</w:t>
            </w:r>
          </w:p>
          <w:p w14:paraId="47DDDF3C"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Dépose complète et méthodique des anciennes rampe, main courante, balustres et lisse basse avec extraction des fixations, rebouchages, contrôle de l’état des supports, évacuation en filière agréée avec tri ; fourniture et pose de nouvelles mains courantes des deux côtés de l’escalier en bois massif (humidité 8-12 %, sans défauts), continues sur toute la volée y compris changements de direction, section de préhension 3,5 à 5 cm, écartement mural ≥ 4,5 cm, hauteur 80 à 100 cm au-dessus du nez de marche, fixation sur poteaux et/ou consoles murales avec contrôle du parallélisme à la ligne de foulée, finitions soignées (bouchons bois, cache-vis assortis) ; conformité NF P 01-012.</w:t>
            </w:r>
          </w:p>
        </w:tc>
        <w:tc>
          <w:tcPr>
            <w:tcW w:w="1843" w:type="dxa"/>
            <w:tcMar>
              <w:top w:w="40" w:type="dxa"/>
              <w:left w:w="80" w:type="dxa"/>
              <w:bottom w:w="40" w:type="dxa"/>
              <w:right w:w="80" w:type="dxa"/>
            </w:tcMar>
            <w:vAlign w:val="center"/>
          </w:tcPr>
          <w:p w14:paraId="4EA4108E" w14:textId="77777777" w:rsidR="0029529F" w:rsidRPr="00AC7EA6" w:rsidRDefault="0029529F">
            <w:pPr>
              <w:spacing w:before="40" w:after="40"/>
              <w:rPr>
                <w:rFonts w:ascii="Times New Roman" w:hAnsi="Times New Roman" w:cs="Times New Roman"/>
              </w:rPr>
            </w:pPr>
          </w:p>
        </w:tc>
      </w:tr>
      <w:tr w:rsidR="0029529F" w:rsidRPr="00AC7EA6" w14:paraId="14E67C1A" w14:textId="77777777" w:rsidTr="0029529F">
        <w:tc>
          <w:tcPr>
            <w:tcW w:w="1150" w:type="dxa"/>
            <w:tcMar>
              <w:top w:w="40" w:type="dxa"/>
              <w:left w:w="80" w:type="dxa"/>
              <w:bottom w:w="40" w:type="dxa"/>
              <w:right w:w="80" w:type="dxa"/>
            </w:tcMar>
            <w:vAlign w:val="center"/>
          </w:tcPr>
          <w:p w14:paraId="47726884" w14:textId="77777777" w:rsidR="0029529F" w:rsidRPr="00AC7EA6" w:rsidRDefault="0029529F">
            <w:pPr>
              <w:spacing w:before="40" w:after="40"/>
              <w:jc w:val="center"/>
              <w:rPr>
                <w:rFonts w:ascii="Times New Roman" w:hAnsi="Times New Roman" w:cs="Times New Roman"/>
              </w:rPr>
            </w:pPr>
            <w:r>
              <w:rPr>
                <w:rFonts w:ascii="Times New Roman" w:hAnsi="Times New Roman" w:cs="Times New Roman"/>
              </w:rPr>
              <w:t>3.3</w:t>
            </w:r>
          </w:p>
        </w:tc>
        <w:tc>
          <w:tcPr>
            <w:tcW w:w="7492" w:type="dxa"/>
            <w:tcMar>
              <w:top w:w="40" w:type="dxa"/>
              <w:left w:w="80" w:type="dxa"/>
              <w:bottom w:w="40" w:type="dxa"/>
              <w:right w:w="80" w:type="dxa"/>
            </w:tcMar>
            <w:vAlign w:val="center"/>
          </w:tcPr>
          <w:p w14:paraId="0B2078C8"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b/>
                <w:bCs/>
              </w:rPr>
              <w:t>2.5.1 – Nettoyage très minutieux de mise en service – bâtiments 87 et H</w:t>
            </w:r>
          </w:p>
          <w:p w14:paraId="77C6488D" w14:textId="77777777" w:rsidR="0029529F" w:rsidRPr="00AC7EA6" w:rsidRDefault="0029529F" w:rsidP="00D16DAD">
            <w:pPr>
              <w:spacing w:before="40" w:after="40"/>
              <w:jc w:val="both"/>
              <w:rPr>
                <w:rFonts w:ascii="Times New Roman" w:hAnsi="Times New Roman" w:cs="Times New Roman"/>
              </w:rPr>
            </w:pPr>
            <w:r>
              <w:rPr>
                <w:rFonts w:ascii="Times New Roman" w:hAnsi="Times New Roman" w:cs="Times New Roman"/>
                <w:sz w:val="16"/>
                <w:szCs w:val="16"/>
              </w:rPr>
              <w:t>À l’achèvement des travaux et avant les OPR : enlèvement de toutes protections, films, étiquettes, cales et résidus ; nettoyage complet des sols (détergence adaptée, décapage et première protection d’entretien des sols PVC si prescrite, lavage et détartrage des carrelages avec élimination des voiles de ciment) ; nettoyage des faïences, appareils sanitaires et robinetteries, menuiseries intérieures, vitrages intérieurs et extérieurs, appareillages et quincailleries ; dépoussiérage des plafonds, grilles, plinthes et équipements ; évacuation des déchets résiduels avec BSD ; locaux livrés prêts à l’emménagement, nettoyage complémentaire après levées de réserves si exigé, produits compatibles avec les consignes d’entretien des fabricants (intégrées au DOE).</w:t>
            </w:r>
          </w:p>
        </w:tc>
        <w:tc>
          <w:tcPr>
            <w:tcW w:w="1843" w:type="dxa"/>
            <w:tcMar>
              <w:top w:w="40" w:type="dxa"/>
              <w:left w:w="80" w:type="dxa"/>
              <w:bottom w:w="40" w:type="dxa"/>
              <w:right w:w="80" w:type="dxa"/>
            </w:tcMar>
            <w:vAlign w:val="center"/>
          </w:tcPr>
          <w:p w14:paraId="2A658D32" w14:textId="77777777" w:rsidR="0029529F" w:rsidRPr="00AC7EA6" w:rsidRDefault="0029529F">
            <w:pPr>
              <w:spacing w:before="40" w:after="40"/>
              <w:rPr>
                <w:rFonts w:ascii="Times New Roman" w:hAnsi="Times New Roman" w:cs="Times New Roman"/>
              </w:rPr>
            </w:pPr>
          </w:p>
        </w:tc>
      </w:tr>
      <w:tr w:rsidR="0029529F" w:rsidRPr="00AC7EA6" w14:paraId="718AE3E7" w14:textId="77777777" w:rsidTr="0029529F">
        <w:tc>
          <w:tcPr>
            <w:tcW w:w="1150" w:type="dxa"/>
            <w:shd w:val="clear" w:color="auto" w:fill="F2F2F2"/>
            <w:tcMar>
              <w:top w:w="40" w:type="dxa"/>
              <w:left w:w="80" w:type="dxa"/>
              <w:bottom w:w="40" w:type="dxa"/>
              <w:right w:w="80" w:type="dxa"/>
            </w:tcMar>
            <w:vAlign w:val="center"/>
          </w:tcPr>
          <w:p w14:paraId="6933A91D" w14:textId="77777777" w:rsidR="0029529F" w:rsidRPr="00AC7EA6" w:rsidRDefault="0029529F">
            <w:pPr>
              <w:spacing w:before="40" w:after="40"/>
              <w:rPr>
                <w:rFonts w:ascii="Times New Roman" w:hAnsi="Times New Roman" w:cs="Times New Roman"/>
              </w:rPr>
            </w:pPr>
          </w:p>
        </w:tc>
        <w:tc>
          <w:tcPr>
            <w:tcW w:w="7492" w:type="dxa"/>
            <w:shd w:val="clear" w:color="auto" w:fill="F2F2F2"/>
            <w:tcMar>
              <w:top w:w="40" w:type="dxa"/>
              <w:left w:w="80" w:type="dxa"/>
              <w:bottom w:w="40" w:type="dxa"/>
              <w:right w:w="80" w:type="dxa"/>
            </w:tcMar>
            <w:vAlign w:val="center"/>
          </w:tcPr>
          <w:p w14:paraId="7DEBBC29" w14:textId="77777777" w:rsidR="0029529F" w:rsidRPr="00AC7EA6" w:rsidRDefault="0029529F">
            <w:pPr>
              <w:spacing w:before="40" w:after="40"/>
              <w:jc w:val="right"/>
              <w:rPr>
                <w:rFonts w:ascii="Times New Roman" w:hAnsi="Times New Roman" w:cs="Times New Roman"/>
              </w:rPr>
            </w:pPr>
            <w:r>
              <w:rPr>
                <w:rFonts w:ascii="Times New Roman" w:hAnsi="Times New Roman" w:cs="Times New Roman"/>
                <w:b/>
                <w:bCs/>
              </w:rPr>
              <w:t>SOUS-TOTAL SECTION TECHNIQUE N° 2 – € HT</w:t>
            </w:r>
          </w:p>
        </w:tc>
        <w:tc>
          <w:tcPr>
            <w:tcW w:w="1843" w:type="dxa"/>
            <w:shd w:val="clear" w:color="auto" w:fill="F2F2F2"/>
            <w:tcMar>
              <w:top w:w="40" w:type="dxa"/>
              <w:left w:w="80" w:type="dxa"/>
              <w:bottom w:w="40" w:type="dxa"/>
              <w:right w:w="80" w:type="dxa"/>
            </w:tcMar>
            <w:vAlign w:val="center"/>
          </w:tcPr>
          <w:p w14:paraId="743D5FA3" w14:textId="77777777" w:rsidR="0029529F" w:rsidRPr="00AC7EA6" w:rsidRDefault="0029529F">
            <w:pPr>
              <w:spacing w:before="40" w:after="40"/>
              <w:rPr>
                <w:rFonts w:ascii="Times New Roman" w:hAnsi="Times New Roman" w:cs="Times New Roman"/>
              </w:rPr>
            </w:pPr>
          </w:p>
        </w:tc>
      </w:tr>
    </w:tbl>
    <w:p w14:paraId="78560023" w14:textId="77777777" w:rsidR="005677BE" w:rsidRPr="00AC7EA6" w:rsidRDefault="005677BE">
      <w:pPr>
        <w:spacing w:before="40" w:after="120"/>
        <w:rPr>
          <w:rFonts w:ascii="Times New Roman" w:hAnsi="Times New Roman" w:cs="Times New Roman"/>
        </w:rPr>
      </w:pPr>
    </w:p>
    <w:tbl>
      <w:tblPr>
        <w:tblW w:w="10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9066"/>
        <w:gridCol w:w="1400"/>
      </w:tblGrid>
      <w:tr w:rsidR="005677BE" w:rsidRPr="00AC7EA6" w14:paraId="1F2313C7" w14:textId="77777777">
        <w:tc>
          <w:tcPr>
            <w:tcW w:w="10466" w:type="dxa"/>
            <w:gridSpan w:val="2"/>
            <w:shd w:val="clear" w:color="auto" w:fill="A6A6A6"/>
            <w:tcMar>
              <w:top w:w="40" w:type="dxa"/>
              <w:left w:w="80" w:type="dxa"/>
              <w:bottom w:w="40" w:type="dxa"/>
              <w:right w:w="80" w:type="dxa"/>
            </w:tcMar>
            <w:vAlign w:val="center"/>
          </w:tcPr>
          <w:p w14:paraId="16503C39" w14:textId="77777777" w:rsidR="005677BE" w:rsidRPr="00AC7EA6" w:rsidRDefault="00A169ED">
            <w:pPr>
              <w:spacing w:before="40" w:after="40"/>
              <w:jc w:val="center"/>
              <w:rPr>
                <w:rFonts w:ascii="Times New Roman" w:hAnsi="Times New Roman" w:cs="Times New Roman"/>
              </w:rPr>
            </w:pPr>
            <w:r>
              <w:rPr>
                <w:rFonts w:ascii="Times New Roman" w:hAnsi="Times New Roman" w:cs="Times New Roman"/>
                <w:b/>
                <w:bCs/>
                <w:sz w:val="22"/>
                <w:szCs w:val="22"/>
              </w:rPr>
              <w:t>RÉCAPITULATIF GÉNÉRAL – LOT N° 02 : SECOND-ŒUVRE</w:t>
            </w:r>
          </w:p>
        </w:tc>
      </w:tr>
      <w:tr w:rsidR="005677BE" w:rsidRPr="00AC7EA6" w14:paraId="10B6407A" w14:textId="77777777">
        <w:tc>
          <w:tcPr>
            <w:tcW w:w="9066" w:type="dxa"/>
            <w:shd w:val="clear" w:color="auto" w:fill="FFFFFF"/>
            <w:tcMar>
              <w:top w:w="40" w:type="dxa"/>
              <w:left w:w="80" w:type="dxa"/>
              <w:bottom w:w="40" w:type="dxa"/>
              <w:right w:w="80" w:type="dxa"/>
            </w:tcMar>
            <w:vAlign w:val="center"/>
          </w:tcPr>
          <w:p w14:paraId="1FBA6E32" w14:textId="77777777" w:rsidR="005677BE" w:rsidRPr="00AC7EA6" w:rsidRDefault="00A169ED" w:rsidP="00AC7EA6">
            <w:pPr>
              <w:spacing w:before="40" w:after="40"/>
              <w:rPr>
                <w:rFonts w:ascii="Times New Roman" w:hAnsi="Times New Roman" w:cs="Times New Roman"/>
              </w:rPr>
            </w:pPr>
            <w:r>
              <w:rPr>
                <w:rFonts w:ascii="Times New Roman" w:hAnsi="Times New Roman" w:cs="Times New Roman"/>
                <w:sz w:val="20"/>
                <w:szCs w:val="20"/>
              </w:rPr>
              <w:t>Sous-total section technique n° 1 – Isolation, plâtrerie, plafonds, peinture, menuiseries intérieures … € HT</w:t>
            </w:r>
          </w:p>
        </w:tc>
        <w:tc>
          <w:tcPr>
            <w:tcW w:w="1400" w:type="dxa"/>
            <w:shd w:val="clear" w:color="auto" w:fill="FFFFFF"/>
            <w:tcMar>
              <w:top w:w="40" w:type="dxa"/>
              <w:left w:w="80" w:type="dxa"/>
              <w:bottom w:w="40" w:type="dxa"/>
              <w:right w:w="80" w:type="dxa"/>
            </w:tcMar>
            <w:vAlign w:val="center"/>
          </w:tcPr>
          <w:p w14:paraId="4E2230C8" w14:textId="77777777" w:rsidR="005677BE" w:rsidRPr="00AC7EA6" w:rsidRDefault="005677BE">
            <w:pPr>
              <w:spacing w:before="40" w:after="40"/>
              <w:rPr>
                <w:rFonts w:ascii="Times New Roman" w:hAnsi="Times New Roman" w:cs="Times New Roman"/>
              </w:rPr>
            </w:pPr>
          </w:p>
        </w:tc>
      </w:tr>
      <w:tr w:rsidR="005677BE" w:rsidRPr="00AC7EA6" w14:paraId="77504A9A" w14:textId="77777777">
        <w:tc>
          <w:tcPr>
            <w:tcW w:w="9066" w:type="dxa"/>
            <w:shd w:val="clear" w:color="auto" w:fill="FFFFFF"/>
            <w:tcMar>
              <w:top w:w="40" w:type="dxa"/>
              <w:left w:w="80" w:type="dxa"/>
              <w:bottom w:w="40" w:type="dxa"/>
              <w:right w:w="80" w:type="dxa"/>
            </w:tcMar>
            <w:vAlign w:val="center"/>
          </w:tcPr>
          <w:p w14:paraId="3AD4374D" w14:textId="77777777" w:rsidR="005677BE" w:rsidRPr="00AC7EA6" w:rsidRDefault="00A169ED" w:rsidP="00AC7EA6">
            <w:pPr>
              <w:spacing w:before="40" w:after="40"/>
              <w:rPr>
                <w:rFonts w:ascii="Times New Roman" w:hAnsi="Times New Roman" w:cs="Times New Roman"/>
              </w:rPr>
            </w:pPr>
            <w:r>
              <w:rPr>
                <w:rFonts w:ascii="Times New Roman" w:hAnsi="Times New Roman" w:cs="Times New Roman"/>
                <w:sz w:val="20"/>
                <w:szCs w:val="20"/>
              </w:rPr>
              <w:t>Sous-total section technique n° 2 – Revêtements sols et murs, escalier, nettoyage … € HT</w:t>
            </w:r>
          </w:p>
        </w:tc>
        <w:tc>
          <w:tcPr>
            <w:tcW w:w="1400" w:type="dxa"/>
            <w:shd w:val="clear" w:color="auto" w:fill="FFFFFF"/>
            <w:tcMar>
              <w:top w:w="40" w:type="dxa"/>
              <w:left w:w="80" w:type="dxa"/>
              <w:bottom w:w="40" w:type="dxa"/>
              <w:right w:w="80" w:type="dxa"/>
            </w:tcMar>
            <w:vAlign w:val="center"/>
          </w:tcPr>
          <w:p w14:paraId="7A5A5A8A" w14:textId="77777777" w:rsidR="005677BE" w:rsidRPr="00AC7EA6" w:rsidRDefault="005677BE">
            <w:pPr>
              <w:spacing w:before="40" w:after="40"/>
              <w:rPr>
                <w:rFonts w:ascii="Times New Roman" w:hAnsi="Times New Roman" w:cs="Times New Roman"/>
              </w:rPr>
            </w:pPr>
          </w:p>
        </w:tc>
      </w:tr>
      <w:tr w:rsidR="005677BE" w:rsidRPr="00AC7EA6" w14:paraId="16BABC3E" w14:textId="77777777">
        <w:tc>
          <w:tcPr>
            <w:tcW w:w="9066" w:type="dxa"/>
            <w:shd w:val="clear" w:color="auto" w:fill="D9D9D9"/>
            <w:tcMar>
              <w:top w:w="40" w:type="dxa"/>
              <w:left w:w="80" w:type="dxa"/>
              <w:bottom w:w="40" w:type="dxa"/>
              <w:right w:w="80" w:type="dxa"/>
            </w:tcMar>
            <w:vAlign w:val="center"/>
          </w:tcPr>
          <w:p w14:paraId="5E4AFA7E" w14:textId="77777777" w:rsidR="005677BE" w:rsidRPr="00AC7EA6" w:rsidRDefault="00A169ED">
            <w:pPr>
              <w:spacing w:before="40" w:after="40"/>
              <w:jc w:val="right"/>
              <w:rPr>
                <w:rFonts w:ascii="Times New Roman" w:hAnsi="Times New Roman" w:cs="Times New Roman"/>
              </w:rPr>
            </w:pPr>
            <w:r>
              <w:rPr>
                <w:rFonts w:ascii="Times New Roman" w:hAnsi="Times New Roman" w:cs="Times New Roman"/>
                <w:b/>
                <w:bCs/>
                <w:sz w:val="20"/>
                <w:szCs w:val="20"/>
              </w:rPr>
              <w:t>TOTAL GÉNÉRAL € HT</w:t>
            </w:r>
          </w:p>
        </w:tc>
        <w:tc>
          <w:tcPr>
            <w:tcW w:w="1400" w:type="dxa"/>
            <w:shd w:val="clear" w:color="auto" w:fill="D9D9D9"/>
            <w:tcMar>
              <w:top w:w="40" w:type="dxa"/>
              <w:left w:w="80" w:type="dxa"/>
              <w:bottom w:w="40" w:type="dxa"/>
              <w:right w:w="80" w:type="dxa"/>
            </w:tcMar>
            <w:vAlign w:val="center"/>
          </w:tcPr>
          <w:p w14:paraId="7D789A0C" w14:textId="77777777" w:rsidR="005677BE" w:rsidRPr="00AC7EA6" w:rsidRDefault="005677BE">
            <w:pPr>
              <w:spacing w:before="40" w:after="40"/>
              <w:rPr>
                <w:rFonts w:ascii="Times New Roman" w:hAnsi="Times New Roman" w:cs="Times New Roman"/>
              </w:rPr>
            </w:pPr>
          </w:p>
        </w:tc>
      </w:tr>
      <w:tr w:rsidR="005677BE" w:rsidRPr="00AC7EA6" w14:paraId="1725BE21" w14:textId="77777777">
        <w:tc>
          <w:tcPr>
            <w:tcW w:w="9066" w:type="dxa"/>
            <w:shd w:val="clear" w:color="auto" w:fill="D9D9D9"/>
            <w:tcMar>
              <w:top w:w="40" w:type="dxa"/>
              <w:left w:w="80" w:type="dxa"/>
              <w:bottom w:w="40" w:type="dxa"/>
              <w:right w:w="80" w:type="dxa"/>
            </w:tcMar>
            <w:vAlign w:val="center"/>
          </w:tcPr>
          <w:p w14:paraId="14D44FFF" w14:textId="77777777" w:rsidR="005677BE" w:rsidRPr="00AC7EA6" w:rsidRDefault="00A169ED">
            <w:pPr>
              <w:spacing w:before="40" w:after="40"/>
              <w:jc w:val="right"/>
              <w:rPr>
                <w:rFonts w:ascii="Times New Roman" w:hAnsi="Times New Roman" w:cs="Times New Roman"/>
              </w:rPr>
            </w:pPr>
            <w:r>
              <w:rPr>
                <w:rFonts w:ascii="Times New Roman" w:hAnsi="Times New Roman" w:cs="Times New Roman"/>
                <w:b/>
                <w:bCs/>
                <w:sz w:val="20"/>
                <w:szCs w:val="20"/>
              </w:rPr>
              <w:t>TVA 20 %</w:t>
            </w:r>
          </w:p>
        </w:tc>
        <w:tc>
          <w:tcPr>
            <w:tcW w:w="1400" w:type="dxa"/>
            <w:shd w:val="clear" w:color="auto" w:fill="D9D9D9"/>
            <w:tcMar>
              <w:top w:w="40" w:type="dxa"/>
              <w:left w:w="80" w:type="dxa"/>
              <w:bottom w:w="40" w:type="dxa"/>
              <w:right w:w="80" w:type="dxa"/>
            </w:tcMar>
            <w:vAlign w:val="center"/>
          </w:tcPr>
          <w:p w14:paraId="300DA954" w14:textId="77777777" w:rsidR="005677BE" w:rsidRPr="00AC7EA6" w:rsidRDefault="005677BE">
            <w:pPr>
              <w:spacing w:before="40" w:after="40"/>
              <w:rPr>
                <w:rFonts w:ascii="Times New Roman" w:hAnsi="Times New Roman" w:cs="Times New Roman"/>
              </w:rPr>
            </w:pPr>
          </w:p>
        </w:tc>
      </w:tr>
      <w:tr w:rsidR="005677BE" w:rsidRPr="00AC7EA6" w14:paraId="78315F84" w14:textId="77777777">
        <w:tc>
          <w:tcPr>
            <w:tcW w:w="9066" w:type="dxa"/>
            <w:shd w:val="clear" w:color="auto" w:fill="D9D9D9"/>
            <w:tcMar>
              <w:top w:w="40" w:type="dxa"/>
              <w:left w:w="80" w:type="dxa"/>
              <w:bottom w:w="40" w:type="dxa"/>
              <w:right w:w="80" w:type="dxa"/>
            </w:tcMar>
            <w:vAlign w:val="center"/>
          </w:tcPr>
          <w:p w14:paraId="1DFBBDD3" w14:textId="77777777" w:rsidR="005677BE" w:rsidRPr="00AC7EA6" w:rsidRDefault="00A169ED">
            <w:pPr>
              <w:spacing w:before="40" w:after="40"/>
              <w:jc w:val="right"/>
              <w:rPr>
                <w:rFonts w:ascii="Times New Roman" w:hAnsi="Times New Roman" w:cs="Times New Roman"/>
              </w:rPr>
            </w:pPr>
            <w:r>
              <w:rPr>
                <w:rFonts w:ascii="Times New Roman" w:hAnsi="Times New Roman" w:cs="Times New Roman"/>
                <w:b/>
                <w:bCs/>
                <w:sz w:val="20"/>
                <w:szCs w:val="20"/>
              </w:rPr>
              <w:t>TOTAL GÉNÉRAL € TTC</w:t>
            </w:r>
          </w:p>
        </w:tc>
        <w:tc>
          <w:tcPr>
            <w:tcW w:w="1400" w:type="dxa"/>
            <w:shd w:val="clear" w:color="auto" w:fill="D9D9D9"/>
            <w:tcMar>
              <w:top w:w="40" w:type="dxa"/>
              <w:left w:w="80" w:type="dxa"/>
              <w:bottom w:w="40" w:type="dxa"/>
              <w:right w:w="80" w:type="dxa"/>
            </w:tcMar>
            <w:vAlign w:val="center"/>
          </w:tcPr>
          <w:p w14:paraId="5DAE0637" w14:textId="77777777" w:rsidR="005677BE" w:rsidRPr="00AC7EA6" w:rsidRDefault="005677BE">
            <w:pPr>
              <w:spacing w:before="40" w:after="40"/>
              <w:rPr>
                <w:rFonts w:ascii="Times New Roman" w:hAnsi="Times New Roman" w:cs="Times New Roman"/>
              </w:rPr>
            </w:pPr>
          </w:p>
        </w:tc>
      </w:tr>
    </w:tbl>
    <w:p w14:paraId="192A4E9B" w14:textId="77777777" w:rsidR="005677BE" w:rsidRPr="00AC7EA6" w:rsidRDefault="005677BE">
      <w:pPr>
        <w:spacing w:before="40" w:after="200"/>
        <w:rPr>
          <w:rFonts w:ascii="Times New Roman" w:hAnsi="Times New Roman" w:cs="Times New Roman"/>
        </w:rPr>
      </w:pPr>
    </w:p>
    <w:p w14:paraId="07164955" w14:textId="77777777" w:rsidR="005677BE" w:rsidRPr="00AC7EA6" w:rsidRDefault="00A169ED">
      <w:pPr>
        <w:spacing w:before="200" w:after="40"/>
        <w:rPr>
          <w:rFonts w:ascii="Times New Roman" w:hAnsi="Times New Roman" w:cs="Times New Roman"/>
        </w:rPr>
      </w:pPr>
      <w:r>
        <w:rPr>
          <w:rFonts w:ascii="Times New Roman" w:hAnsi="Times New Roman" w:cs="Times New Roman"/>
          <w:sz w:val="20"/>
          <w:szCs w:val="20"/>
        </w:rPr>
        <w:t>Fait à ……………………………………, le ……………………………</w:t>
      </w:r>
    </w:p>
    <w:p w14:paraId="7D07FE1E" w14:textId="77777777" w:rsidR="005677BE" w:rsidRPr="00AC7EA6" w:rsidRDefault="00A169ED">
      <w:pPr>
        <w:spacing w:before="120" w:after="600"/>
        <w:rPr>
          <w:rFonts w:ascii="Times New Roman" w:hAnsi="Times New Roman" w:cs="Times New Roman"/>
        </w:rPr>
      </w:pPr>
      <w:r>
        <w:rPr>
          <w:rFonts w:ascii="Times New Roman" w:hAnsi="Times New Roman" w:cs="Times New Roman"/>
          <w:sz w:val="20"/>
          <w:szCs w:val="20"/>
        </w:rPr>
        <w:t>Le candidat (cachet et signature) :</w:t>
      </w:r>
    </w:p>
    <w:p w14:paraId="36ACC69A" w14:textId="77777777" w:rsidR="005677BE" w:rsidRPr="00AC7EA6" w:rsidRDefault="00A169ED">
      <w:pPr>
        <w:spacing w:before="400" w:after="40"/>
        <w:rPr>
          <w:rFonts w:ascii="Times New Roman" w:hAnsi="Times New Roman" w:cs="Times New Roman"/>
        </w:rPr>
      </w:pPr>
      <w:r>
        <w:rPr>
          <w:rFonts w:ascii="Times New Roman" w:hAnsi="Times New Roman" w:cs="Times New Roman"/>
          <w:sz w:val="20"/>
          <w:szCs w:val="20"/>
        </w:rPr>
        <w:t>Mention manuscrite « Lu et approuvé » :</w:t>
      </w:r>
    </w:p>
    <w:sectPr w:rsidR="005677BE" w:rsidRPr="00AC7EA6">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E544BA" w14:textId="77777777" w:rsidR="005541B1" w:rsidRDefault="005541B1">
      <w:r>
        <w:separator/>
      </w:r>
    </w:p>
  </w:endnote>
  <w:endnote w:type="continuationSeparator" w:id="0">
    <w:p w14:paraId="532F3452" w14:textId="77777777" w:rsidR="005541B1" w:rsidRDefault="00554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2B9172" w14:textId="77777777" w:rsidR="005677BE" w:rsidRDefault="005677B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718F9" w14:textId="77777777" w:rsidR="005677BE" w:rsidRDefault="005677B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AAED0" w14:textId="77777777" w:rsidR="005677BE" w:rsidRDefault="005677B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62C95" w14:textId="77777777" w:rsidR="005541B1" w:rsidRDefault="005541B1">
      <w:r>
        <w:separator/>
      </w:r>
    </w:p>
  </w:footnote>
  <w:footnote w:type="continuationSeparator" w:id="0">
    <w:p w14:paraId="7E16A7CD" w14:textId="77777777" w:rsidR="005541B1" w:rsidRDefault="00554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B5142" w14:textId="77777777" w:rsidR="005677BE" w:rsidRDefault="005677B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3D24A" w14:textId="77777777" w:rsidR="005677BE" w:rsidRDefault="005677B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7A027" w14:textId="77777777" w:rsidR="005677BE" w:rsidRDefault="005677B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825C7B"/>
    <w:multiLevelType w:val="hybridMultilevel"/>
    <w:tmpl w:val="68B09B58"/>
    <w:lvl w:ilvl="0" w:tplc="137E2396">
      <w:start w:val="1"/>
      <w:numFmt w:val="bullet"/>
      <w:lvlText w:val="●"/>
      <w:lvlJc w:val="left"/>
      <w:pPr>
        <w:ind w:left="720" w:hanging="360"/>
      </w:pPr>
    </w:lvl>
    <w:lvl w:ilvl="1" w:tplc="86DC2F10">
      <w:start w:val="1"/>
      <w:numFmt w:val="bullet"/>
      <w:lvlText w:val="○"/>
      <w:lvlJc w:val="left"/>
      <w:pPr>
        <w:ind w:left="1440" w:hanging="360"/>
      </w:pPr>
    </w:lvl>
    <w:lvl w:ilvl="2" w:tplc="005ADD1C">
      <w:start w:val="1"/>
      <w:numFmt w:val="bullet"/>
      <w:lvlText w:val="■"/>
      <w:lvlJc w:val="left"/>
      <w:pPr>
        <w:ind w:left="2160" w:hanging="360"/>
      </w:pPr>
    </w:lvl>
    <w:lvl w:ilvl="3" w:tplc="1B969AE0">
      <w:start w:val="1"/>
      <w:numFmt w:val="bullet"/>
      <w:lvlText w:val="●"/>
      <w:lvlJc w:val="left"/>
      <w:pPr>
        <w:ind w:left="2880" w:hanging="360"/>
      </w:pPr>
    </w:lvl>
    <w:lvl w:ilvl="4" w:tplc="033A26B0">
      <w:start w:val="1"/>
      <w:numFmt w:val="bullet"/>
      <w:lvlText w:val="○"/>
      <w:lvlJc w:val="left"/>
      <w:pPr>
        <w:ind w:left="3600" w:hanging="360"/>
      </w:pPr>
    </w:lvl>
    <w:lvl w:ilvl="5" w:tplc="98404C70">
      <w:start w:val="1"/>
      <w:numFmt w:val="bullet"/>
      <w:lvlText w:val="■"/>
      <w:lvlJc w:val="left"/>
      <w:pPr>
        <w:ind w:left="4320" w:hanging="360"/>
      </w:pPr>
    </w:lvl>
    <w:lvl w:ilvl="6" w:tplc="B62C23F0">
      <w:start w:val="1"/>
      <w:numFmt w:val="bullet"/>
      <w:lvlText w:val="●"/>
      <w:lvlJc w:val="left"/>
      <w:pPr>
        <w:ind w:left="5040" w:hanging="360"/>
      </w:pPr>
    </w:lvl>
    <w:lvl w:ilvl="7" w:tplc="3A0A17C6">
      <w:start w:val="1"/>
      <w:numFmt w:val="bullet"/>
      <w:lvlText w:val="●"/>
      <w:lvlJc w:val="left"/>
      <w:pPr>
        <w:ind w:left="5760" w:hanging="360"/>
      </w:pPr>
    </w:lvl>
    <w:lvl w:ilvl="8" w:tplc="5CB067F8">
      <w:start w:val="1"/>
      <w:numFmt w:val="bullet"/>
      <w:lvlText w:val="●"/>
      <w:lvlJc w:val="left"/>
      <w:pPr>
        <w:ind w:left="6480" w:hanging="360"/>
      </w:pPr>
    </w:lvl>
  </w:abstractNum>
  <w:abstractNum w:abstractNumId="1" w15:restartNumberingAfterBreak="0">
    <w:nsid w:val="3AAA44FD"/>
    <w:multiLevelType w:val="hybridMultilevel"/>
    <w:tmpl w:val="40B49EF0"/>
    <w:lvl w:ilvl="0" w:tplc="040C0001">
      <w:numFmt w:val="bullet"/>
      <w:lvlText w:val=""/>
      <w:lvlJc w:val="left"/>
      <w:pPr>
        <w:tabs>
          <w:tab w:val="num" w:pos="720"/>
        </w:tabs>
        <w:ind w:left="720" w:hanging="360"/>
      </w:pPr>
      <w:rPr>
        <w:rFonts w:ascii="Symbol" w:eastAsia="Times New Roman" w:hAnsi="Symbol" w:cs="Times New Roman"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7BE"/>
    <w:rsid w:val="00015733"/>
    <w:rsid w:val="001B52C1"/>
    <w:rsid w:val="001D356F"/>
    <w:rsid w:val="0027235A"/>
    <w:rsid w:val="0029529F"/>
    <w:rsid w:val="005541B1"/>
    <w:rsid w:val="00566F6C"/>
    <w:rsid w:val="005677BE"/>
    <w:rsid w:val="007D49A5"/>
    <w:rsid w:val="0080144C"/>
    <w:rsid w:val="00A169ED"/>
    <w:rsid w:val="00AC7EA6"/>
    <w:rsid w:val="00CC190A"/>
    <w:rsid w:val="00CE5F83"/>
    <w:rsid w:val="00D16D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728AC"/>
  <w15:docId w15:val="{0A8A8D66-8E66-46F6-BB86-BB17580C0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18"/>
        <w:szCs w:val="18"/>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uiPriority w:val="9"/>
    <w:qFormat/>
    <w:pPr>
      <w:outlineLvl w:val="0"/>
    </w:pPr>
    <w:rPr>
      <w:color w:val="2E74B5"/>
      <w:sz w:val="32"/>
      <w:szCs w:val="32"/>
    </w:rPr>
  </w:style>
  <w:style w:type="paragraph" w:styleId="Titre2">
    <w:name w:val="heading 2"/>
    <w:uiPriority w:val="9"/>
    <w:semiHidden/>
    <w:unhideWhenUsed/>
    <w:qFormat/>
    <w:pPr>
      <w:outlineLvl w:val="1"/>
    </w:pPr>
    <w:rPr>
      <w:color w:val="2E74B5"/>
      <w:sz w:val="26"/>
      <w:szCs w:val="26"/>
    </w:rPr>
  </w:style>
  <w:style w:type="paragraph" w:styleId="Titre3">
    <w:name w:val="heading 3"/>
    <w:uiPriority w:val="9"/>
    <w:semiHidden/>
    <w:unhideWhenUsed/>
    <w:qFormat/>
    <w:pPr>
      <w:outlineLvl w:val="2"/>
    </w:pPr>
    <w:rPr>
      <w:color w:val="1F4D78"/>
      <w:sz w:val="24"/>
      <w:szCs w:val="24"/>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 w:type="character" w:styleId="Appeldenotedefin">
    <w:name w:val="endnote reference"/>
    <w:uiPriority w:val="99"/>
    <w:semiHidden/>
    <w:unhideWhenUsed/>
    <w:rPr>
      <w:vertAlign w:val="superscript"/>
    </w:rPr>
  </w:style>
  <w:style w:type="paragraph" w:styleId="Notedefin">
    <w:name w:val="endnote text"/>
    <w:link w:val="NotedefinCar"/>
    <w:uiPriority w:val="99"/>
    <w:semiHidden/>
    <w:unhideWhenUsed/>
    <w:rPr>
      <w:sz w:val="20"/>
      <w:szCs w:val="20"/>
    </w:rPr>
  </w:style>
  <w:style w:type="character" w:customStyle="1" w:styleId="NotedefinCar">
    <w:name w:val="Note de fin Car"/>
    <w:link w:val="Notedefin"/>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1C15399B325C741A7287DF3277F4B1E" ma:contentTypeVersion="1" ma:contentTypeDescription="Crée un document." ma:contentTypeScope="" ma:versionID="0d81b2f946e228ec30f66f4ad1b40652">
  <xsd:schema xmlns:xsd="http://www.w3.org/2001/XMLSchema" xmlns:xs="http://www.w3.org/2001/XMLSchema" xmlns:p="http://schemas.microsoft.com/office/2006/metadata/properties" xmlns:ns2="f9a79268-8d42-40fb-94c0-65f043680cc2" targetNamespace="http://schemas.microsoft.com/office/2006/metadata/properties" ma:root="true" ma:fieldsID="7f3cb1f478314e02678198134d528f23" ns2:_="">
    <xsd:import namespace="f9a79268-8d42-40fb-94c0-65f043680cc2"/>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a79268-8d42-40fb-94c0-65f043680cc2"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4A7125-773B-47A7-AC42-E1729FCD2A59}">
  <ds:schemaRefs>
    <ds:schemaRef ds:uri="http://schemas.microsoft.com/sharepoint/v3/contenttype/forms"/>
  </ds:schemaRefs>
</ds:datastoreItem>
</file>

<file path=customXml/itemProps2.xml><?xml version="1.0" encoding="utf-8"?>
<ds:datastoreItem xmlns:ds="http://schemas.openxmlformats.org/officeDocument/2006/customXml" ds:itemID="{965AFA6A-97B6-4F22-B709-6103F8D455E9}">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9c1fc8e-4872-46be-9d61-a8bb4d3efa2a"/>
    <ds:schemaRef ds:uri="http://www.w3.org/XML/1998/namespace"/>
    <ds:schemaRef ds:uri="http://purl.org/dc/dcmitype/"/>
  </ds:schemaRefs>
</ds:datastoreItem>
</file>

<file path=customXml/itemProps3.xml><?xml version="1.0" encoding="utf-8"?>
<ds:datastoreItem xmlns:ds="http://schemas.openxmlformats.org/officeDocument/2006/customXml" ds:itemID="{FFFB8B50-572E-4EFE-BE3D-76CCB7CB53D7}"/>
</file>

<file path=docProps/app.xml><?xml version="1.0" encoding="utf-8"?>
<Properties xmlns="http://schemas.openxmlformats.org/officeDocument/2006/extended-properties" xmlns:vt="http://schemas.openxmlformats.org/officeDocument/2006/docPropsVTypes">
  <Template>Normal.dotm</Template>
  <TotalTime>13</TotalTime>
  <Pages>6</Pages>
  <Words>4526</Words>
  <Characters>24899</Characters>
  <Application>Microsoft Office Word</Application>
  <DocSecurity>0</DocSecurity>
  <Lines>207</Lines>
  <Paragraphs>58</Paragraphs>
  <ScaleCrop>false</ScaleCrop>
  <HeadingPairs>
    <vt:vector size="2" baseType="variant">
      <vt:variant>
        <vt:lpstr>Titre</vt:lpstr>
      </vt:variant>
      <vt:variant>
        <vt:i4>1</vt:i4>
      </vt:variant>
    </vt:vector>
  </HeadingPairs>
  <TitlesOfParts>
    <vt:vector size="1" baseType="lpstr">
      <vt:lpstr>DPGF LOT 2 SECOND-ŒUVRE</vt:lpstr>
    </vt:vector>
  </TitlesOfParts>
  <Company/>
  <LinksUpToDate>false</LinksUpToDate>
  <CharactersWithSpaces>29367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DPGF LOT 2 SECOND-ŒUVRE</dc:title>
  <dc:creator>indira.zeric@intradef.gouv.fr</dc:creator>
  <cp:lastModifiedBy>PAES Jose SA CE MINDEF</cp:lastModifiedBy>
  <cp:revision>10</cp:revision>
  <dcterms:created xsi:type="dcterms:W3CDTF">2026-07-08T21:47:00Z</dcterms:created>
  <dcterms:modified xsi:type="dcterms:W3CDTF">2026-07-23T11:09:00Z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0x01010021C15399B325C741A7287DF3277F4B1E</vt:lpwstr>
  </property>
</Properties>
</file>